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EB497">
      <w:pPr>
        <w:rPr>
          <w:rFonts w:hint="eastAsia" w:ascii="黑体" w:hAnsi="黑体" w:eastAsia="黑体"/>
          <w:sz w:val="32"/>
          <w:szCs w:val="32"/>
        </w:rPr>
      </w:pPr>
    </w:p>
    <w:p w14:paraId="26D2F8D9">
      <w:pPr>
        <w:jc w:val="center"/>
        <w:rPr>
          <w:rFonts w:hint="eastAsia" w:ascii="方正小标宋_GBK" w:hAnsi="宋体" w:eastAsia="方正小标宋_GBK"/>
          <w:sz w:val="44"/>
          <w:szCs w:val="44"/>
        </w:rPr>
      </w:pPr>
    </w:p>
    <w:p w14:paraId="06A1573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木垒哈萨克自治县退役军人事务局</w:t>
      </w:r>
    </w:p>
    <w:p w14:paraId="769B2C7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A05FBD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29B57E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C86EE0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F65C76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EA06E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BBA01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9C7304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994FF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1798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854278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F7E34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7B78C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78CE8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3B191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E25DE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DE0C88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37967C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38E8EB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F04D08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6C095A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53ABE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998E48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9836AD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1A7116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15264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0D9AC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9C40C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12615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D06FC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01CE0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ED77F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C4A561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AD63B7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7B47FDA">
      <w:r>
        <w:rPr>
          <w:rFonts w:hint="eastAsia" w:ascii="仿宋_GB2312" w:hAnsi="仿宋_GB2312" w:eastAsia="仿宋_GB2312" w:cs="仿宋_GB2312"/>
          <w:sz w:val="32"/>
          <w:szCs w:val="32"/>
        </w:rPr>
        <w:fldChar w:fldCharType="end"/>
      </w:r>
    </w:p>
    <w:p w14:paraId="2299A171">
      <w:pPr>
        <w:rPr>
          <w:rFonts w:ascii="仿宋_GB2312" w:eastAsia="仿宋_GB2312"/>
          <w:sz w:val="32"/>
          <w:szCs w:val="32"/>
        </w:rPr>
      </w:pPr>
      <w:r>
        <w:rPr>
          <w:rFonts w:hint="eastAsia" w:ascii="仿宋_GB2312" w:eastAsia="仿宋_GB2312"/>
          <w:sz w:val="32"/>
          <w:szCs w:val="32"/>
        </w:rPr>
        <w:br w:type="page"/>
      </w:r>
    </w:p>
    <w:p w14:paraId="7AD33E5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50ABA91">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7A3FA02">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Pr>
          <w:rFonts w:hint="eastAsia" w:ascii="仿宋_GB2312" w:eastAsia="仿宋_GB2312"/>
          <w:sz w:val="32"/>
          <w:szCs w:val="32"/>
        </w:rPr>
        <w:t>。</w:t>
      </w:r>
    </w:p>
    <w:p w14:paraId="48BAF47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7408B7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木垒哈萨克自治县退役军人事务局2023年度，实有人数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0F405E7A">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val="zh-CN"/>
        </w:rPr>
        <w:t>办公室、</w:t>
      </w:r>
      <w:r>
        <w:rPr>
          <w:rFonts w:hint="eastAsia" w:ascii="仿宋_GB2312" w:hAnsi="仿宋_GB2312" w:eastAsia="仿宋_GB2312"/>
          <w:sz w:val="32"/>
        </w:rPr>
        <w:t>退役军人服务中心</w:t>
      </w:r>
      <w:r>
        <w:rPr>
          <w:rFonts w:hint="eastAsia" w:ascii="仿宋_GB2312" w:hAnsi="宋体" w:eastAsia="仿宋_GB2312" w:cs="宋体"/>
          <w:kern w:val="0"/>
          <w:sz w:val="32"/>
          <w:szCs w:val="32"/>
        </w:rPr>
        <w:t>。</w:t>
      </w:r>
    </w:p>
    <w:p w14:paraId="6A9B2BD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DEE8B0F">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359AD1F">
      <w:pPr>
        <w:ind w:firstLine="640" w:firstLineChars="200"/>
        <w:jc w:val="left"/>
        <w:rPr>
          <w:rFonts w:ascii="仿宋_GB2312" w:eastAsia="仿宋_GB2312"/>
          <w:sz w:val="32"/>
          <w:szCs w:val="32"/>
        </w:rPr>
      </w:pPr>
      <w:r>
        <w:rPr>
          <w:rFonts w:hint="eastAsia" w:ascii="仿宋_GB2312" w:eastAsia="仿宋_GB2312"/>
          <w:sz w:val="32"/>
          <w:szCs w:val="32"/>
        </w:rPr>
        <w:t>2023年度收入总计1,392.79万元，其中：本年收入合计1,392.79万元，使用非财政拨款结余0.00万元，年初结转和结余0.00万元。</w:t>
      </w:r>
    </w:p>
    <w:p w14:paraId="42533C9A">
      <w:pPr>
        <w:ind w:firstLine="640" w:firstLineChars="200"/>
        <w:jc w:val="left"/>
        <w:rPr>
          <w:rFonts w:ascii="仿宋_GB2312" w:eastAsia="仿宋_GB2312"/>
          <w:sz w:val="32"/>
          <w:szCs w:val="32"/>
        </w:rPr>
      </w:pPr>
      <w:r>
        <w:rPr>
          <w:rFonts w:hint="eastAsia" w:ascii="仿宋_GB2312" w:eastAsia="仿宋_GB2312"/>
          <w:sz w:val="32"/>
          <w:szCs w:val="32"/>
        </w:rPr>
        <w:t>2023年度支出总计1,392.79万元，其中：本年支出合计1,392.76万元，结余分配0.00万元，年末结转和结余0.03万元。</w:t>
      </w:r>
    </w:p>
    <w:p w14:paraId="0E48BE95">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增加504.46万元</w:t>
      </w:r>
      <w:r>
        <w:rPr>
          <w:rFonts w:hint="eastAsia" w:ascii="仿宋_GB2312" w:eastAsia="仿宋_GB2312"/>
          <w:sz w:val="32"/>
          <w:szCs w:val="32"/>
        </w:rPr>
        <w:t>，增长56.79%，主要原因是：增加了军转干部医疗费、退役士兵一次性经济补助、地方伤残补助、立功受奖送喜报、</w:t>
      </w:r>
      <w:r>
        <w:rPr>
          <w:rFonts w:hint="eastAsia" w:eastAsia="仿宋_GB2312"/>
          <w:sz w:val="32"/>
          <w:szCs w:val="32"/>
          <w:lang w:val="zh-CN"/>
        </w:rPr>
        <w:t>人民英雄纪念碑</w:t>
      </w:r>
      <w:r>
        <w:rPr>
          <w:rFonts w:hint="eastAsia" w:ascii="仿宋_GB2312" w:eastAsia="仿宋_GB2312"/>
          <w:sz w:val="32"/>
          <w:szCs w:val="32"/>
        </w:rPr>
        <w:t>等项目经费。</w:t>
      </w:r>
    </w:p>
    <w:p w14:paraId="17C41D6B">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9A949B1">
      <w:pPr>
        <w:ind w:firstLine="640" w:firstLineChars="200"/>
        <w:jc w:val="left"/>
        <w:rPr>
          <w:rFonts w:ascii="仿宋_GB2312" w:eastAsia="仿宋_GB2312"/>
          <w:sz w:val="32"/>
          <w:szCs w:val="32"/>
        </w:rPr>
      </w:pPr>
      <w:r>
        <w:rPr>
          <w:rFonts w:hint="eastAsia" w:ascii="仿宋_GB2312" w:eastAsia="仿宋_GB2312"/>
          <w:sz w:val="32"/>
          <w:szCs w:val="32"/>
        </w:rPr>
        <w:t>本年收入1,392.79万元，其中：财政拨款收入</w:t>
      </w:r>
      <w:r>
        <w:rPr>
          <w:rFonts w:hint="eastAsia" w:ascii="仿宋_GB2312" w:eastAsia="仿宋_GB2312"/>
          <w:sz w:val="32"/>
          <w:szCs w:val="32"/>
          <w:lang w:val="zh-CN"/>
        </w:rPr>
        <w:t>1,392.76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0.03</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E7CF18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A49B26A">
      <w:pPr>
        <w:ind w:firstLine="640" w:firstLineChars="200"/>
        <w:jc w:val="left"/>
        <w:rPr>
          <w:rFonts w:ascii="仿宋_GB2312" w:eastAsia="仿宋_GB2312"/>
          <w:sz w:val="32"/>
          <w:szCs w:val="32"/>
        </w:rPr>
      </w:pPr>
      <w:r>
        <w:rPr>
          <w:rFonts w:hint="eastAsia" w:ascii="仿宋_GB2312" w:eastAsia="仿宋_GB2312"/>
          <w:sz w:val="32"/>
          <w:szCs w:val="32"/>
        </w:rPr>
        <w:t>本年支出1,392.76万元，其中：基本支出134.60万元，占9.66%；项目支出1,258.16万元，占90.34%；上缴上级支出0.00万元，占0.00%；经营支出0.00万元，占0.00%；对附属单位补助支出0.00万元，占0.00%。</w:t>
      </w:r>
    </w:p>
    <w:p w14:paraId="684E4A19">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E7D86C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1,392.76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1,392.76</w:t>
      </w:r>
      <w:r>
        <w:rPr>
          <w:rFonts w:hint="eastAsia" w:ascii="仿宋_GB2312" w:eastAsia="仿宋_GB2312"/>
          <w:sz w:val="32"/>
          <w:szCs w:val="32"/>
        </w:rPr>
        <w:t>万元。财政拨款支出总计</w:t>
      </w:r>
      <w:r>
        <w:rPr>
          <w:rFonts w:hint="eastAsia" w:ascii="仿宋_GB2312" w:eastAsia="仿宋_GB2312"/>
          <w:sz w:val="32"/>
          <w:szCs w:val="32"/>
          <w:lang w:val="zh-CN"/>
        </w:rPr>
        <w:t>1,392.76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1,392.76</w:t>
      </w:r>
      <w:r>
        <w:rPr>
          <w:rFonts w:hint="eastAsia" w:ascii="仿宋_GB2312" w:eastAsia="仿宋_GB2312"/>
          <w:sz w:val="32"/>
          <w:szCs w:val="32"/>
        </w:rPr>
        <w:t>万元。</w:t>
      </w:r>
    </w:p>
    <w:p w14:paraId="50A7ACF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增加504.43万元</w:t>
      </w:r>
      <w:r>
        <w:rPr>
          <w:rFonts w:hint="eastAsia" w:ascii="仿宋_GB2312" w:eastAsia="仿宋_GB2312"/>
          <w:sz w:val="32"/>
          <w:szCs w:val="32"/>
        </w:rPr>
        <w:t>，增长56.78%,主要原因是：增加了军转干部医疗费、退役士兵一次性经济补助、地方伤残补助、立功受奖送喜报、</w:t>
      </w:r>
      <w:r>
        <w:rPr>
          <w:rFonts w:hint="eastAsia" w:eastAsia="仿宋_GB2312"/>
          <w:sz w:val="32"/>
          <w:szCs w:val="32"/>
          <w:lang w:val="zh-CN"/>
        </w:rPr>
        <w:t>人民英雄纪念碑</w:t>
      </w:r>
      <w:r>
        <w:rPr>
          <w:rFonts w:hint="eastAsia" w:ascii="仿宋_GB2312" w:eastAsia="仿宋_GB2312"/>
          <w:sz w:val="32"/>
          <w:szCs w:val="32"/>
        </w:rPr>
        <w:t>等项目经费。与年初预算相比，年初预算数</w:t>
      </w:r>
      <w:r>
        <w:rPr>
          <w:rFonts w:hint="eastAsia" w:ascii="仿宋_GB2312" w:eastAsia="仿宋_GB2312"/>
          <w:sz w:val="32"/>
          <w:szCs w:val="32"/>
          <w:lang w:val="zh-CN"/>
        </w:rPr>
        <w:t>668.00</w:t>
      </w:r>
      <w:r>
        <w:rPr>
          <w:rFonts w:hint="eastAsia" w:ascii="仿宋_GB2312" w:eastAsia="仿宋_GB2312"/>
          <w:sz w:val="32"/>
          <w:szCs w:val="32"/>
        </w:rPr>
        <w:t>万元，决算数</w:t>
      </w:r>
      <w:r>
        <w:rPr>
          <w:rFonts w:hint="eastAsia" w:ascii="仿宋_GB2312" w:eastAsia="仿宋_GB2312"/>
          <w:sz w:val="32"/>
          <w:szCs w:val="32"/>
          <w:lang w:val="zh-CN"/>
        </w:rPr>
        <w:t>1,392.76</w:t>
      </w:r>
      <w:r>
        <w:rPr>
          <w:rFonts w:hint="eastAsia" w:ascii="仿宋_GB2312" w:eastAsia="仿宋_GB2312"/>
          <w:sz w:val="32"/>
          <w:szCs w:val="32"/>
        </w:rPr>
        <w:t>万元，预决算差异率108.50%，主要原因是：</w:t>
      </w:r>
      <w:r>
        <w:rPr>
          <w:rFonts w:hint="eastAsia" w:ascii="仿宋_GB2312" w:eastAsia="仿宋_GB2312"/>
          <w:sz w:val="32"/>
          <w:szCs w:val="32"/>
          <w:lang w:val="en-US" w:eastAsia="zh-CN"/>
        </w:rPr>
        <w:t>年中</w:t>
      </w:r>
      <w:r>
        <w:rPr>
          <w:rFonts w:hint="eastAsia" w:ascii="仿宋_GB2312" w:eastAsia="仿宋_GB2312"/>
          <w:sz w:val="32"/>
          <w:szCs w:val="32"/>
        </w:rPr>
        <w:t>追加军转干部医疗费、退役士兵一次性经济补助、地方伤残补助、立功受奖送喜报、</w:t>
      </w:r>
      <w:r>
        <w:rPr>
          <w:rFonts w:hint="eastAsia" w:eastAsia="仿宋_GB2312"/>
          <w:sz w:val="32"/>
          <w:szCs w:val="32"/>
          <w:lang w:val="zh-CN"/>
        </w:rPr>
        <w:t>人民英雄纪念碑项目</w:t>
      </w:r>
      <w:r>
        <w:rPr>
          <w:rFonts w:hint="eastAsia" w:ascii="仿宋_GB2312" w:eastAsia="仿宋_GB2312"/>
          <w:sz w:val="32"/>
          <w:szCs w:val="32"/>
        </w:rPr>
        <w:t>经费。</w:t>
      </w:r>
    </w:p>
    <w:p w14:paraId="4BA3A6E5">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04682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BFF89A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2023年度一般公共预算财政拨款支出1,392.76万元，占本年支出合计的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增加504.43万元</w:t>
      </w:r>
      <w:r>
        <w:rPr>
          <w:rFonts w:hint="eastAsia" w:ascii="仿宋_GB2312" w:eastAsia="仿宋_GB2312"/>
          <w:sz w:val="32"/>
          <w:szCs w:val="32"/>
        </w:rPr>
        <w:t>，增长56.78%,主要原因是：增加了军转干部医疗费、退役士兵一次性经济补助、地方伤残补助、立功受奖送喜报、</w:t>
      </w:r>
      <w:r>
        <w:rPr>
          <w:rFonts w:hint="eastAsia" w:eastAsia="仿宋_GB2312"/>
          <w:sz w:val="32"/>
          <w:szCs w:val="32"/>
          <w:lang w:val="zh-CN"/>
        </w:rPr>
        <w:t>人民英雄纪念碑等</w:t>
      </w:r>
      <w:r>
        <w:rPr>
          <w:rFonts w:hint="eastAsia" w:ascii="仿宋_GB2312" w:eastAsia="仿宋_GB2312"/>
          <w:sz w:val="32"/>
          <w:szCs w:val="32"/>
        </w:rPr>
        <w:t>项目经费。与年初预算相比，年初预算数</w:t>
      </w:r>
      <w:r>
        <w:rPr>
          <w:rFonts w:hint="eastAsia" w:ascii="仿宋_GB2312" w:eastAsia="仿宋_GB2312"/>
          <w:sz w:val="32"/>
          <w:szCs w:val="32"/>
          <w:lang w:val="zh-CN"/>
        </w:rPr>
        <w:t>668.00</w:t>
      </w:r>
      <w:r>
        <w:rPr>
          <w:rFonts w:hint="eastAsia" w:ascii="仿宋_GB2312" w:eastAsia="仿宋_GB2312"/>
          <w:sz w:val="32"/>
          <w:szCs w:val="32"/>
        </w:rPr>
        <w:t>万元，决算数</w:t>
      </w:r>
      <w:r>
        <w:rPr>
          <w:rFonts w:hint="eastAsia" w:ascii="仿宋_GB2312" w:eastAsia="仿宋_GB2312"/>
          <w:sz w:val="32"/>
          <w:szCs w:val="32"/>
          <w:lang w:val="zh-CN"/>
        </w:rPr>
        <w:t>1,392.76</w:t>
      </w:r>
      <w:r>
        <w:rPr>
          <w:rFonts w:hint="eastAsia" w:ascii="仿宋_GB2312" w:eastAsia="仿宋_GB2312"/>
          <w:sz w:val="32"/>
          <w:szCs w:val="32"/>
        </w:rPr>
        <w:t>万元，预决算差异率</w:t>
      </w:r>
      <w:r>
        <w:rPr>
          <w:rFonts w:hint="eastAsia" w:ascii="仿宋_GB2312" w:eastAsia="仿宋_GB2312"/>
          <w:sz w:val="32"/>
          <w:szCs w:val="32"/>
          <w:lang w:val="zh-CN"/>
        </w:rPr>
        <w:t>108.50%</w:t>
      </w:r>
      <w:r>
        <w:rPr>
          <w:rFonts w:hint="eastAsia" w:ascii="仿宋_GB2312" w:eastAsia="仿宋_GB2312"/>
          <w:sz w:val="32"/>
          <w:szCs w:val="32"/>
        </w:rPr>
        <w:t>，主要原因是：</w:t>
      </w:r>
      <w:r>
        <w:rPr>
          <w:rFonts w:hint="eastAsia" w:ascii="仿宋_GB2312" w:eastAsia="仿宋_GB2312"/>
          <w:sz w:val="32"/>
          <w:szCs w:val="32"/>
          <w:lang w:val="en-US" w:eastAsia="zh-CN"/>
        </w:rPr>
        <w:t>年中</w:t>
      </w:r>
      <w:r>
        <w:rPr>
          <w:rFonts w:hint="eastAsia" w:ascii="仿宋_GB2312" w:eastAsia="仿宋_GB2312"/>
          <w:sz w:val="32"/>
          <w:szCs w:val="32"/>
        </w:rPr>
        <w:t>追加军转干部医疗费、退役士兵一次性经济补助、地方伤残补助、立功受奖送喜报、</w:t>
      </w:r>
      <w:r>
        <w:rPr>
          <w:rFonts w:hint="eastAsia" w:eastAsia="仿宋_GB2312"/>
          <w:sz w:val="32"/>
          <w:szCs w:val="32"/>
          <w:lang w:val="zh-CN"/>
        </w:rPr>
        <w:t>人民英雄纪念碑项目</w:t>
      </w:r>
      <w:r>
        <w:rPr>
          <w:rFonts w:hint="eastAsia" w:ascii="仿宋_GB2312" w:eastAsia="仿宋_GB2312"/>
          <w:sz w:val="32"/>
          <w:szCs w:val="32"/>
        </w:rPr>
        <w:t>经费。</w:t>
      </w:r>
    </w:p>
    <w:p w14:paraId="65515CB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9A5D0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1,377.38</w:t>
      </w:r>
      <w:r>
        <w:rPr>
          <w:rFonts w:ascii="仿宋_GB2312" w:eastAsia="仿宋_GB2312"/>
          <w:kern w:val="2"/>
          <w:sz w:val="32"/>
          <w:szCs w:val="32"/>
          <w:lang w:val="zh-CN"/>
        </w:rPr>
        <w:t>万元，占</w:t>
      </w:r>
      <w:r>
        <w:rPr>
          <w:rFonts w:hint="eastAsia" w:ascii="仿宋_GB2312" w:eastAsia="仿宋_GB2312"/>
          <w:kern w:val="2"/>
          <w:sz w:val="32"/>
          <w:szCs w:val="32"/>
          <w:lang w:val="zh-CN"/>
        </w:rPr>
        <w:t>98.90</w:t>
      </w:r>
      <w:r>
        <w:rPr>
          <w:rFonts w:ascii="仿宋_GB2312" w:eastAsia="仿宋_GB2312"/>
          <w:kern w:val="2"/>
          <w:sz w:val="32"/>
          <w:szCs w:val="32"/>
          <w:lang w:val="zh-CN"/>
        </w:rPr>
        <w:t>%；</w:t>
      </w:r>
    </w:p>
    <w:p w14:paraId="2943BBD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1.00</w:t>
      </w:r>
      <w:r>
        <w:rPr>
          <w:rFonts w:ascii="仿宋_GB2312" w:eastAsia="仿宋_GB2312"/>
          <w:kern w:val="2"/>
          <w:sz w:val="32"/>
          <w:szCs w:val="32"/>
          <w:lang w:val="zh-CN"/>
        </w:rPr>
        <w:t>万元，占</w:t>
      </w:r>
      <w:r>
        <w:rPr>
          <w:rFonts w:hint="eastAsia" w:ascii="仿宋_GB2312" w:eastAsia="仿宋_GB2312"/>
          <w:kern w:val="2"/>
          <w:sz w:val="32"/>
          <w:szCs w:val="32"/>
          <w:lang w:val="zh-CN"/>
        </w:rPr>
        <w:t>0.07</w:t>
      </w:r>
      <w:r>
        <w:rPr>
          <w:rFonts w:ascii="仿宋_GB2312" w:eastAsia="仿宋_GB2312"/>
          <w:kern w:val="2"/>
          <w:sz w:val="32"/>
          <w:szCs w:val="32"/>
          <w:lang w:val="zh-CN"/>
        </w:rPr>
        <w:t>%；</w:t>
      </w:r>
    </w:p>
    <w:p w14:paraId="7ED71CB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9.38</w:t>
      </w:r>
      <w:r>
        <w:rPr>
          <w:rFonts w:ascii="仿宋_GB2312" w:eastAsia="仿宋_GB2312"/>
          <w:kern w:val="2"/>
          <w:sz w:val="32"/>
          <w:szCs w:val="32"/>
          <w:lang w:val="zh-CN"/>
        </w:rPr>
        <w:t>万元，占</w:t>
      </w:r>
      <w:r>
        <w:rPr>
          <w:rFonts w:hint="eastAsia" w:ascii="仿宋_GB2312" w:eastAsia="仿宋_GB2312"/>
          <w:kern w:val="2"/>
          <w:sz w:val="32"/>
          <w:szCs w:val="32"/>
          <w:lang w:val="zh-CN"/>
        </w:rPr>
        <w:t>0.67</w:t>
      </w:r>
      <w:r>
        <w:rPr>
          <w:rFonts w:ascii="仿宋_GB2312" w:eastAsia="仿宋_GB2312"/>
          <w:kern w:val="2"/>
          <w:sz w:val="32"/>
          <w:szCs w:val="32"/>
          <w:lang w:val="zh-CN"/>
        </w:rPr>
        <w:t>%；</w:t>
      </w:r>
    </w:p>
    <w:p w14:paraId="1D7543A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0.36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7EA303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E48321A">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1.社会保障和就业支出（类）抚恤（款）烈士纪念设施管理维护（项）:支出决算数为157.00万元，比上年决算增加142.00万元，增长946.</w:t>
      </w:r>
      <w:r>
        <w:rPr>
          <w:rFonts w:hint="eastAsia" w:ascii="仿宋_GB2312" w:eastAsia="仿宋_GB2312"/>
          <w:sz w:val="32"/>
          <w:szCs w:val="32"/>
          <w:lang w:val="en-US" w:eastAsia="zh-CN"/>
        </w:rPr>
        <w:t>67</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增加人民英雄纪念碑项目经费。</w:t>
      </w:r>
    </w:p>
    <w:p w14:paraId="22B6E8E9">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2.社会保障和就业支出（类）退役安置（款）军队转业干部安置（项）:支出决算数为105.92万元，比上年决算减少2.2</w:t>
      </w:r>
      <w:r>
        <w:rPr>
          <w:rFonts w:hint="eastAsia" w:ascii="仿宋_GB2312" w:eastAsia="仿宋_GB2312"/>
          <w:sz w:val="32"/>
          <w:szCs w:val="32"/>
          <w:lang w:val="en-US" w:eastAsia="zh-CN"/>
        </w:rPr>
        <w:t>8</w:t>
      </w:r>
      <w:r>
        <w:rPr>
          <w:rFonts w:hint="eastAsia" w:ascii="仿宋_GB2312" w:eastAsia="仿宋_GB2312"/>
          <w:sz w:val="32"/>
          <w:szCs w:val="32"/>
        </w:rPr>
        <w:t>万元，下降2.11%，主要原因是：单位本年军转干部生活费、服务管理费减少。</w:t>
      </w:r>
    </w:p>
    <w:p w14:paraId="5E1207D6">
      <w:pPr>
        <w:ind w:firstLine="640" w:firstLineChars="200"/>
        <w:jc w:val="left"/>
        <w:rPr>
          <w:rFonts w:ascii="仿宋_GB2312" w:eastAsia="仿宋_GB2312"/>
          <w:sz w:val="32"/>
          <w:szCs w:val="32"/>
        </w:rPr>
      </w:pPr>
      <w:r>
        <w:rPr>
          <w:rFonts w:hint="eastAsia" w:ascii="仿宋_GB2312" w:eastAsia="仿宋_GB2312"/>
          <w:sz w:val="32"/>
          <w:szCs w:val="32"/>
        </w:rPr>
        <w:t>3.卫生健康支出（类）优抚对象医疗（款）其他优抚对象医疗支出（项）:支出决算数为1.00万元，比上年决算增加0.37万元，增长58.73%，主要原因是：本年优抚对象医疗保障项目经费增加。</w:t>
      </w:r>
    </w:p>
    <w:p w14:paraId="74C38ABC">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4.住房保障支出（类）住房改革支出（款）住房公积金（项）:支出决算数为9.38万元，比上年决算增加0.87万元，增长10.</w:t>
      </w:r>
      <w:r>
        <w:rPr>
          <w:rFonts w:hint="eastAsia" w:ascii="仿宋_GB2312" w:eastAsia="仿宋_GB2312"/>
          <w:sz w:val="32"/>
          <w:szCs w:val="32"/>
          <w:lang w:val="en-US" w:eastAsia="zh-CN"/>
        </w:rPr>
        <w:t>35</w:t>
      </w:r>
      <w:r>
        <w:rPr>
          <w:rFonts w:hint="eastAsia" w:ascii="仿宋_GB2312" w:eastAsia="仿宋_GB2312"/>
          <w:sz w:val="32"/>
          <w:szCs w:val="32"/>
        </w:rPr>
        <w:t>%，主要原因是：单位本年人员增加，相应人员公积金缴费增加。</w:t>
      </w:r>
    </w:p>
    <w:p w14:paraId="0CAE4104">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5.社会保障和就业支出（类）抚恤（款）死亡抚恤（项）:支出决算数为30.92万元，比上年决算增加30.92万元，增长100%，主要原因是：军休干部王万福去世，本年一次性死亡抚恤金增加。</w:t>
      </w:r>
    </w:p>
    <w:p w14:paraId="1400ED87">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6.社会保障和就业支出（类）退役安置（款）退役士兵安置（项）:支出决算数为108.28万元，比上年决算增加68.55万元，增长172.</w:t>
      </w:r>
      <w:r>
        <w:rPr>
          <w:rFonts w:hint="eastAsia" w:ascii="仿宋_GB2312" w:eastAsia="仿宋_GB2312"/>
          <w:sz w:val="32"/>
          <w:szCs w:val="32"/>
          <w:lang w:val="en-US" w:eastAsia="zh-CN"/>
        </w:rPr>
        <w:t>54</w:t>
      </w:r>
      <w:r>
        <w:rPr>
          <w:rFonts w:hint="eastAsia" w:ascii="仿宋_GB2312" w:eastAsia="仿宋_GB2312"/>
          <w:sz w:val="32"/>
          <w:szCs w:val="32"/>
        </w:rPr>
        <w:t>%，主要原因是：退役士兵一次性经济补助金增加。</w:t>
      </w:r>
    </w:p>
    <w:p w14:paraId="02A51AEE">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7.社会保障和就业支出（类）退役军人管理事务（款）拥军优属（项）:支出决算数为39.19万元，比上年决算增加29.9</w:t>
      </w:r>
      <w:r>
        <w:rPr>
          <w:rFonts w:hint="eastAsia" w:ascii="仿宋_GB2312" w:eastAsia="仿宋_GB2312"/>
          <w:sz w:val="32"/>
          <w:szCs w:val="32"/>
          <w:lang w:val="en-US" w:eastAsia="zh-CN"/>
        </w:rPr>
        <w:t>8</w:t>
      </w:r>
      <w:r>
        <w:rPr>
          <w:rFonts w:hint="eastAsia" w:ascii="仿宋_GB2312" w:eastAsia="仿宋_GB2312"/>
          <w:sz w:val="32"/>
          <w:szCs w:val="32"/>
        </w:rPr>
        <w:t>万元，增长325.</w:t>
      </w:r>
      <w:r>
        <w:rPr>
          <w:rFonts w:hint="eastAsia" w:ascii="仿宋_GB2312" w:eastAsia="仿宋_GB2312"/>
          <w:sz w:val="32"/>
          <w:szCs w:val="32"/>
          <w:lang w:val="en-US" w:eastAsia="zh-CN"/>
        </w:rPr>
        <w:t>52</w:t>
      </w:r>
      <w:r>
        <w:rPr>
          <w:rFonts w:hint="eastAsia" w:ascii="仿宋_GB2312" w:eastAsia="仿宋_GB2312"/>
          <w:sz w:val="32"/>
          <w:szCs w:val="32"/>
        </w:rPr>
        <w:t>%，主要原因是：2023年春节、八·一两节慰问费增加。</w:t>
      </w:r>
    </w:p>
    <w:p w14:paraId="1306C97F">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8.社会保障和就业支出（类）抚恤（款）其他优抚支出（项）:支出决算数为465.42万元，比上年决算增加34.45万元，增长7.99%，主要原因是：优抚对象人数增加，优抚对象生活补助费增加。</w:t>
      </w:r>
    </w:p>
    <w:p w14:paraId="066CC6FD">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9.社会保障和就业支出（类）抚恤（款）义务兵优待（项）:支出决算数为171.00万元，比上年决算增加64.31万元，增长60.28%，主要原因是：义务兵人数增加，义务兵优待金增加。</w:t>
      </w:r>
    </w:p>
    <w:p w14:paraId="161A84B8">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10.社会保障和就业支出（类）退役军人管理事务（款）行政运行（项）:支出决算数为106.45万元，比上年决算减少2.1</w:t>
      </w:r>
      <w:r>
        <w:rPr>
          <w:rFonts w:hint="eastAsia" w:ascii="仿宋_GB2312" w:eastAsia="仿宋_GB2312"/>
          <w:sz w:val="32"/>
          <w:szCs w:val="32"/>
          <w:lang w:val="en-US" w:eastAsia="zh-CN"/>
        </w:rPr>
        <w:t>0</w:t>
      </w:r>
      <w:r>
        <w:rPr>
          <w:rFonts w:hint="eastAsia" w:ascii="仿宋_GB2312" w:eastAsia="仿宋_GB2312"/>
          <w:sz w:val="32"/>
          <w:szCs w:val="32"/>
        </w:rPr>
        <w:t>万元，下降1.9</w:t>
      </w:r>
      <w:r>
        <w:rPr>
          <w:rFonts w:hint="eastAsia" w:ascii="仿宋_GB2312" w:eastAsia="仿宋_GB2312"/>
          <w:sz w:val="32"/>
          <w:szCs w:val="32"/>
          <w:lang w:val="en-US" w:eastAsia="zh-CN"/>
        </w:rPr>
        <w:t>3</w:t>
      </w:r>
      <w:r>
        <w:rPr>
          <w:rFonts w:hint="eastAsia" w:ascii="仿宋_GB2312" w:eastAsia="仿宋_GB2312"/>
          <w:sz w:val="32"/>
          <w:szCs w:val="32"/>
        </w:rPr>
        <w:t>%，主要原因是：单位本年人员绩效工资补助较上年减少。</w:t>
      </w:r>
    </w:p>
    <w:p w14:paraId="12625226">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11.社会保障和就业支出（类）行政事业单位养老支出（款）机关事业单位基本养老保险缴费支出（项）:支出决算数为12.02万元，比上年决算增加1.05万元，增长9.</w:t>
      </w:r>
      <w:r>
        <w:rPr>
          <w:rFonts w:hint="eastAsia" w:ascii="仿宋_GB2312" w:eastAsia="仿宋_GB2312"/>
          <w:sz w:val="32"/>
          <w:szCs w:val="32"/>
          <w:lang w:val="en-US" w:eastAsia="zh-CN"/>
        </w:rPr>
        <w:t>57</w:t>
      </w:r>
      <w:r>
        <w:rPr>
          <w:rFonts w:hint="eastAsia" w:ascii="仿宋_GB2312" w:eastAsia="仿宋_GB2312"/>
          <w:sz w:val="32"/>
          <w:szCs w:val="32"/>
        </w:rPr>
        <w:t>%，主要原因是：单位本年人员增加，相应养老保险缴费增加。</w:t>
      </w:r>
    </w:p>
    <w:p w14:paraId="60F64455">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12.社会保障和就业支出（类）抚恤（款）伤残抚恤（项）:支出决算数为17.04万元，比上年决算减少2.07万元，下降10.8</w:t>
      </w:r>
      <w:r>
        <w:rPr>
          <w:rFonts w:hint="eastAsia" w:ascii="仿宋_GB2312" w:eastAsia="仿宋_GB2312"/>
          <w:sz w:val="32"/>
          <w:szCs w:val="32"/>
          <w:lang w:val="en-US" w:eastAsia="zh-CN"/>
        </w:rPr>
        <w:t>3</w:t>
      </w:r>
      <w:r>
        <w:rPr>
          <w:rFonts w:hint="eastAsia" w:ascii="仿宋_GB2312" w:eastAsia="仿宋_GB2312"/>
          <w:sz w:val="32"/>
          <w:szCs w:val="32"/>
        </w:rPr>
        <w:t>%，主要原因是：单位本年地方伤残人员伤残补助项目经费减少。</w:t>
      </w:r>
    </w:p>
    <w:p w14:paraId="62A86A7C">
      <w:pPr>
        <w:ind w:firstLine="640" w:firstLineChars="200"/>
        <w:jc w:val="left"/>
        <w:rPr>
          <w:rFonts w:ascii="仿宋_GB2312" w:eastAsia="仿宋_GB2312"/>
          <w:sz w:val="32"/>
          <w:szCs w:val="32"/>
        </w:rPr>
      </w:pPr>
      <w:r>
        <w:rPr>
          <w:rFonts w:hint="eastAsia" w:ascii="仿宋_GB2312" w:eastAsia="仿宋_GB2312"/>
          <w:sz w:val="32"/>
          <w:szCs w:val="32"/>
        </w:rPr>
        <w:t>13.社会保障和就业支出（类）退役安置（款）其他退役安置支出（项）:支出决算数为157.40万元，比上年决算增加157.40万元，增长100%，主要原因是：增加退役士兵一次性经济补助金。</w:t>
      </w:r>
    </w:p>
    <w:p w14:paraId="720A0FAE">
      <w:pPr>
        <w:ind w:firstLine="640" w:firstLineChars="200"/>
        <w:jc w:val="left"/>
        <w:rPr>
          <w:rFonts w:ascii="仿宋_GB2312" w:eastAsia="仿宋_GB2312"/>
          <w:sz w:val="32"/>
          <w:szCs w:val="32"/>
        </w:rPr>
      </w:pPr>
      <w:r>
        <w:rPr>
          <w:rFonts w:hint="eastAsia" w:ascii="仿宋_GB2312" w:eastAsia="仿宋_GB2312"/>
          <w:sz w:val="32"/>
          <w:szCs w:val="32"/>
        </w:rPr>
        <w:t>14.社会保障和就业支出（类）人力资源和社会保障管理事务（款）行政运行（项）:支出决算数为6.75万元，比上年决算增加6.75万元，增长100%，主要原因是：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增加双拥工作办公</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070870FD">
      <w:pPr>
        <w:ind w:firstLine="640" w:firstLineChars="200"/>
        <w:jc w:val="left"/>
        <w:rPr>
          <w:rFonts w:ascii="仿宋_GB2312" w:eastAsia="仿宋_GB2312"/>
          <w:sz w:val="32"/>
          <w:szCs w:val="32"/>
        </w:rPr>
      </w:pPr>
      <w:r>
        <w:rPr>
          <w:rFonts w:hint="eastAsia" w:ascii="仿宋_GB2312" w:eastAsia="仿宋_GB2312"/>
          <w:sz w:val="32"/>
          <w:szCs w:val="32"/>
        </w:rPr>
        <w:t>15.其他支出（类）其他支出（款）其他支出（项）:支出决算数为5.00万元，比上年决算增加4.51万元，增长9</w:t>
      </w:r>
      <w:r>
        <w:rPr>
          <w:rFonts w:hint="eastAsia" w:ascii="仿宋_GB2312" w:eastAsia="仿宋_GB2312"/>
          <w:sz w:val="32"/>
          <w:szCs w:val="32"/>
          <w:lang w:val="en-US" w:eastAsia="zh-CN"/>
        </w:rPr>
        <w:t>20.41</w:t>
      </w:r>
      <w:r>
        <w:rPr>
          <w:rFonts w:hint="eastAsia" w:ascii="仿宋_GB2312" w:eastAsia="仿宋_GB2312"/>
          <w:sz w:val="32"/>
          <w:szCs w:val="32"/>
        </w:rPr>
        <w:t>%，主要原因是：本年增加为民办实事社区工作经费。</w:t>
      </w:r>
    </w:p>
    <w:p w14:paraId="69E3473D">
      <w:pPr>
        <w:ind w:firstLine="640" w:firstLineChars="200"/>
        <w:jc w:val="left"/>
        <w:rPr>
          <w:rFonts w:ascii="仿宋_GB2312" w:eastAsia="仿宋_GB2312"/>
          <w:sz w:val="32"/>
          <w:szCs w:val="32"/>
        </w:rPr>
      </w:pPr>
      <w:r>
        <w:rPr>
          <w:rFonts w:hint="eastAsia" w:ascii="仿宋_GB2312" w:eastAsia="仿宋_GB2312"/>
          <w:sz w:val="32"/>
          <w:szCs w:val="32"/>
        </w:rPr>
        <w:t>16.社会保障和就业支出（类）退役安置（款）军队移交政府的离退休人员安置（项）:支出决算数为0.00万元，比上年决算减少20.98万元，下降100%，主要原因是：单位本年减少安置军休人员、无军籍干部补助资金。</w:t>
      </w:r>
    </w:p>
    <w:p w14:paraId="4F30EB3E">
      <w:pPr>
        <w:ind w:firstLine="640" w:firstLineChars="200"/>
        <w:jc w:val="left"/>
        <w:rPr>
          <w:rFonts w:ascii="仿宋_GB2312" w:eastAsia="仿宋_GB2312"/>
          <w:sz w:val="32"/>
          <w:szCs w:val="32"/>
        </w:rPr>
      </w:pPr>
      <w:r>
        <w:rPr>
          <w:rFonts w:hint="eastAsia" w:ascii="仿宋_GB2312" w:eastAsia="仿宋_GB2312"/>
          <w:sz w:val="32"/>
          <w:szCs w:val="32"/>
        </w:rPr>
        <w:t>17.社会保障和就业支出（类）其他社会保障和就业支出（款）其他社会保障和就业支出（项）:支出决算数为0.00万元，比上年决算减少5.00万元，下降100%，主要原因是：单位本年减少生活困难军转干生活补助慰问金。</w:t>
      </w:r>
    </w:p>
    <w:p w14:paraId="22BD7B92">
      <w:pPr>
        <w:ind w:firstLine="640" w:firstLineChars="200"/>
        <w:jc w:val="left"/>
        <w:rPr>
          <w:rFonts w:ascii="仿宋_GB2312" w:eastAsia="仿宋_GB2312"/>
          <w:sz w:val="32"/>
          <w:szCs w:val="32"/>
        </w:rPr>
      </w:pPr>
      <w:r>
        <w:rPr>
          <w:rFonts w:hint="eastAsia" w:ascii="仿宋_GB2312" w:eastAsia="仿宋_GB2312"/>
          <w:sz w:val="32"/>
          <w:szCs w:val="32"/>
        </w:rPr>
        <w:t>18.卫生健康支出（类）优抚对象医疗（款）优抚对象医疗补助（项）:支出决算数为0.00万元，比上年决算减少4.30万元，下降100%，主要原因是：单位本年减少重点优抚对象医疗费资金。</w:t>
      </w:r>
    </w:p>
    <w:p w14:paraId="5A3A65E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D64554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14:paraId="5D27DF54">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公用经费9.07万元，包括：办公费、取暖费。</w:t>
      </w:r>
    </w:p>
    <w:p w14:paraId="2FF1AFD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5F35C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车辆出行次数减少，车辆燃油费、运行费减少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主要原因是：本年单位无此项经费；公务用车购置及运行维护费支出0.00万元，占0.00%，比上年减少0.30万元，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车辆出行次数减少，车辆燃油费、运行费减少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w:t>
      </w:r>
    </w:p>
    <w:p w14:paraId="4427670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6A87E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14:paraId="791A9FA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14:paraId="0D6B4A5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14:paraId="680FDDD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43BF8DE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8E148E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246F7E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3F8C35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8028F8A">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5498E1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1DC7327">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2023年度木垒哈萨克自治县退役军人事务局（行政单位和参照公务员法管理事业单位）机关运行经费支出9.07万元，比上年增加7.56万元，增长500.66%，主要原因是：单位本年办公费、取暖费增加。</w:t>
      </w:r>
    </w:p>
    <w:p w14:paraId="213A699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8F0EE0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2023年度政府采购支出总额26.59万元，其中：政府采购货物支出5.64万元、政府采购工程支出2.25万元、政府采购服务支出18.70万元。</w:t>
      </w:r>
    </w:p>
    <w:p w14:paraId="2DE8D3F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授予中小企业合同金额26.59万元，占政府采购支出总额的100.00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，其中：授予小微企业合同金额26.59万元，占政府采购支出总额的100.00</w:t>
      </w:r>
      <w:r>
        <w:rPr>
          <w:rFonts w:ascii="仿宋_GB2312" w:eastAsia="仿宋_GB2312"/>
          <w:sz w:val="32"/>
          <w:szCs w:val="32"/>
        </w:rPr>
        <w:t>%</w:t>
      </w:r>
      <w:r>
        <w:rPr>
          <w:rFonts w:hint="eastAsia" w:ascii="仿宋_GB2312" w:eastAsia="仿宋_GB2312"/>
          <w:sz w:val="32"/>
          <w:szCs w:val="32"/>
        </w:rPr>
        <w:t>。</w:t>
      </w:r>
    </w:p>
    <w:p w14:paraId="58189EDE">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393995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36.88万元，房屋0.00方米，价值0.00万元。车辆1辆，价值6.90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06D9D2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831D99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1,392.79</w:t>
      </w:r>
      <w:r>
        <w:rPr>
          <w:rFonts w:hint="eastAsia" w:ascii="仿宋_GB2312" w:eastAsia="仿宋_GB2312"/>
          <w:sz w:val="32"/>
          <w:szCs w:val="32"/>
        </w:rPr>
        <w:t>万元，实际执行总额</w:t>
      </w:r>
      <w:r>
        <w:rPr>
          <w:rFonts w:ascii="仿宋_GB2312" w:eastAsia="仿宋_GB2312"/>
          <w:sz w:val="32"/>
          <w:szCs w:val="32"/>
        </w:rPr>
        <w:t>1,392.76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预算绩效评价项目1个，全年预算数248.14</w:t>
      </w:r>
      <w:r>
        <w:rPr>
          <w:rFonts w:hint="eastAsia" w:ascii="仿宋_GB2312" w:eastAsia="仿宋_GB2312"/>
          <w:sz w:val="32"/>
          <w:szCs w:val="32"/>
        </w:rPr>
        <w:t>万元，全年执行数</w:t>
      </w:r>
      <w:r>
        <w:rPr>
          <w:rFonts w:ascii="仿宋_GB2312" w:eastAsia="仿宋_GB2312"/>
          <w:sz w:val="32"/>
          <w:szCs w:val="32"/>
        </w:rPr>
        <w:t>248.14</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我单位努力做好财政预算收入、支出以及各项目的管理工</w:t>
      </w:r>
      <w:bookmarkStart w:id="48" w:name="_GoBack"/>
      <w:bookmarkEnd w:id="48"/>
      <w:r>
        <w:rPr>
          <w:rFonts w:hint="eastAsia" w:ascii="仿宋_GB2312" w:hAnsi="宋体" w:eastAsia="仿宋_GB2312"/>
          <w:bCs/>
          <w:sz w:val="32"/>
          <w:szCs w:val="32"/>
        </w:rPr>
        <w:t>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结合我单位实际情</w:t>
      </w:r>
      <w:r>
        <w:rPr>
          <w:rFonts w:hint="eastAsia" w:ascii="仿宋_GB2312" w:hAnsi="宋体" w:eastAsia="仿宋_GB2312"/>
          <w:bCs/>
          <w:sz w:val="32"/>
          <w:szCs w:val="32"/>
          <w:lang w:val="en-US" w:eastAsia="zh-CN"/>
        </w:rPr>
        <w:t>况</w:t>
      </w:r>
      <w:r>
        <w:rPr>
          <w:rFonts w:hint="eastAsia" w:ascii="仿宋_GB2312" w:hAnsi="宋体" w:eastAsia="仿宋_GB2312"/>
          <w:bCs/>
          <w:sz w:val="32"/>
          <w:szCs w:val="32"/>
        </w:rPr>
        <w:t>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在预算执行和绩效目标编制上依然有欠缺，绩效目标设立不够明确、细化和量化，对绩效分析也不够透彻</w:t>
      </w:r>
      <w:r>
        <w:rPr>
          <w:rFonts w:hint="eastAsia" w:ascii="仿宋_GB2312" w:eastAsia="仿宋_GB2312"/>
          <w:sz w:val="32"/>
          <w:szCs w:val="32"/>
        </w:rPr>
        <w:t>；二是</w:t>
      </w:r>
      <w:r>
        <w:rPr>
          <w:rFonts w:hint="eastAsia" w:ascii="仿宋_GB2312" w:hAnsi="宋体" w:eastAsia="仿宋_GB2312"/>
          <w:bCs/>
          <w:sz w:val="32"/>
          <w:szCs w:val="32"/>
        </w:rPr>
        <w:t>对预算执行和绩效监控重视力度不够</w:t>
      </w:r>
      <w:r>
        <w:rPr>
          <w:rFonts w:hint="eastAsia" w:ascii="仿宋_GB2312" w:eastAsia="仿宋_GB2312"/>
          <w:sz w:val="32"/>
          <w:szCs w:val="32"/>
        </w:rPr>
        <w:t>。下一步改进措施：一是</w:t>
      </w:r>
      <w:r>
        <w:rPr>
          <w:rFonts w:hint="eastAsia" w:ascii="仿宋_GB2312" w:hAnsi="宋体" w:eastAsia="仿宋_GB2312"/>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Pr>
          <w:rFonts w:hint="eastAsia" w:ascii="仿宋_GB2312" w:eastAsia="仿宋_GB2312"/>
          <w:sz w:val="32"/>
          <w:szCs w:val="32"/>
        </w:rPr>
        <w:t>；二是</w:t>
      </w:r>
      <w:r>
        <w:rPr>
          <w:rFonts w:hint="eastAsia" w:ascii="仿宋_GB2312" w:hAnsi="宋体" w:eastAsia="仿宋_GB2312"/>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Pr>
          <w:rFonts w:hint="eastAsia" w:ascii="仿宋_GB2312" w:eastAsia="仿宋_GB2312"/>
          <w:sz w:val="32"/>
          <w:szCs w:val="32"/>
        </w:rPr>
        <w:t>。具体项目自评情况附绩效自评表及自评报告。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1340"/>
        <w:gridCol w:w="1275"/>
        <w:gridCol w:w="1280"/>
        <w:gridCol w:w="1416"/>
        <w:gridCol w:w="850"/>
        <w:gridCol w:w="706"/>
        <w:gridCol w:w="476"/>
      </w:tblGrid>
      <w:tr w14:paraId="0DB1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6F1B845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6A90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7DBD847B">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187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2" w:type="pct"/>
            <w:shd w:val="clear" w:color="auto" w:fill="auto"/>
            <w:noWrap/>
            <w:vAlign w:val="center"/>
          </w:tcPr>
          <w:p w14:paraId="41C97DCB">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308" w:type="pct"/>
            <w:gridSpan w:val="7"/>
            <w:shd w:val="clear" w:color="auto" w:fill="auto"/>
            <w:noWrap/>
            <w:vAlign w:val="center"/>
          </w:tcPr>
          <w:p w14:paraId="69EBAE35">
            <w:pPr>
              <w:widowControl/>
              <w:jc w:val="center"/>
              <w:rPr>
                <w:rFonts w:hint="eastAsia" w:ascii="宋体" w:hAnsi="宋体" w:cs="宋体"/>
                <w:kern w:val="0"/>
                <w:sz w:val="20"/>
                <w:szCs w:val="20"/>
              </w:rPr>
            </w:pPr>
            <w:r>
              <w:rPr>
                <w:rFonts w:hint="eastAsia" w:ascii="宋体" w:hAnsi="宋体" w:cs="宋体"/>
                <w:kern w:val="0"/>
                <w:sz w:val="20"/>
                <w:szCs w:val="20"/>
              </w:rPr>
              <w:t>木垒哈萨克自治县退伍军人事务局</w:t>
            </w:r>
          </w:p>
        </w:tc>
      </w:tr>
      <w:tr w14:paraId="2AB6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92" w:type="pct"/>
            <w:vMerge w:val="restart"/>
            <w:shd w:val="clear" w:color="auto" w:fill="auto"/>
            <w:vAlign w:val="center"/>
          </w:tcPr>
          <w:p w14:paraId="084F4D3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786" w:type="pct"/>
            <w:shd w:val="clear" w:color="auto" w:fill="auto"/>
            <w:vAlign w:val="center"/>
          </w:tcPr>
          <w:p w14:paraId="65514384">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48" w:type="pct"/>
            <w:shd w:val="clear" w:color="auto" w:fill="auto"/>
            <w:vAlign w:val="center"/>
          </w:tcPr>
          <w:p w14:paraId="7997FC50">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51" w:type="pct"/>
            <w:shd w:val="clear" w:color="auto" w:fill="auto"/>
            <w:vAlign w:val="center"/>
          </w:tcPr>
          <w:p w14:paraId="56B76F57">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831" w:type="pct"/>
            <w:shd w:val="clear" w:color="auto" w:fill="auto"/>
            <w:vAlign w:val="center"/>
          </w:tcPr>
          <w:p w14:paraId="56373432">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99" w:type="pct"/>
            <w:shd w:val="clear" w:color="auto" w:fill="auto"/>
            <w:vAlign w:val="center"/>
          </w:tcPr>
          <w:p w14:paraId="1EDA48F8">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14" w:type="pct"/>
            <w:shd w:val="clear" w:color="auto" w:fill="auto"/>
            <w:vAlign w:val="center"/>
          </w:tcPr>
          <w:p w14:paraId="372E0DA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279" w:type="pct"/>
            <w:shd w:val="clear" w:color="auto" w:fill="auto"/>
            <w:vAlign w:val="center"/>
          </w:tcPr>
          <w:p w14:paraId="7CCEF5B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48C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31F53D6D">
            <w:pPr>
              <w:widowControl/>
              <w:jc w:val="left"/>
              <w:rPr>
                <w:rFonts w:hint="eastAsia" w:ascii="宋体" w:hAnsi="宋体" w:cs="宋体"/>
                <w:kern w:val="0"/>
                <w:sz w:val="20"/>
                <w:szCs w:val="20"/>
              </w:rPr>
            </w:pPr>
          </w:p>
        </w:tc>
        <w:tc>
          <w:tcPr>
            <w:tcW w:w="786" w:type="pct"/>
            <w:shd w:val="clear" w:color="auto" w:fill="auto"/>
            <w:noWrap/>
            <w:vAlign w:val="center"/>
          </w:tcPr>
          <w:p w14:paraId="2842549E">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48" w:type="pct"/>
            <w:shd w:val="clear" w:color="auto" w:fill="auto"/>
            <w:vAlign w:val="center"/>
          </w:tcPr>
          <w:p w14:paraId="13B4F8F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312.43</w:t>
            </w:r>
          </w:p>
        </w:tc>
        <w:tc>
          <w:tcPr>
            <w:tcW w:w="751" w:type="pct"/>
            <w:shd w:val="clear" w:color="auto" w:fill="auto"/>
            <w:vAlign w:val="center"/>
          </w:tcPr>
          <w:p w14:paraId="20BF946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360.24</w:t>
            </w:r>
          </w:p>
        </w:tc>
        <w:tc>
          <w:tcPr>
            <w:tcW w:w="831" w:type="pct"/>
            <w:shd w:val="clear" w:color="auto" w:fill="auto"/>
            <w:vAlign w:val="center"/>
          </w:tcPr>
          <w:p w14:paraId="70AC7B7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360.24</w:t>
            </w:r>
          </w:p>
        </w:tc>
        <w:tc>
          <w:tcPr>
            <w:tcW w:w="499" w:type="pct"/>
            <w:shd w:val="clear" w:color="auto" w:fill="auto"/>
            <w:vAlign w:val="center"/>
          </w:tcPr>
          <w:p w14:paraId="2408AA5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7B7AC07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2F36634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34E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2ED6DAEA">
            <w:pPr>
              <w:widowControl/>
              <w:jc w:val="left"/>
              <w:rPr>
                <w:rFonts w:hint="eastAsia" w:ascii="宋体" w:hAnsi="宋体" w:cs="宋体"/>
                <w:kern w:val="0"/>
                <w:sz w:val="20"/>
                <w:szCs w:val="20"/>
              </w:rPr>
            </w:pPr>
          </w:p>
        </w:tc>
        <w:tc>
          <w:tcPr>
            <w:tcW w:w="786" w:type="pct"/>
            <w:shd w:val="clear" w:color="auto" w:fill="auto"/>
            <w:vAlign w:val="center"/>
          </w:tcPr>
          <w:p w14:paraId="03991AE7">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48" w:type="pct"/>
            <w:shd w:val="clear" w:color="auto" w:fill="auto"/>
            <w:vAlign w:val="center"/>
          </w:tcPr>
          <w:p w14:paraId="23A9C5D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256.96</w:t>
            </w:r>
          </w:p>
        </w:tc>
        <w:tc>
          <w:tcPr>
            <w:tcW w:w="751" w:type="pct"/>
            <w:shd w:val="clear" w:color="auto" w:fill="auto"/>
            <w:vAlign w:val="center"/>
          </w:tcPr>
          <w:p w14:paraId="4318A71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274.46</w:t>
            </w:r>
          </w:p>
        </w:tc>
        <w:tc>
          <w:tcPr>
            <w:tcW w:w="831" w:type="pct"/>
            <w:shd w:val="clear" w:color="auto" w:fill="auto"/>
            <w:vAlign w:val="center"/>
          </w:tcPr>
          <w:p w14:paraId="23CF2E9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274.46</w:t>
            </w:r>
          </w:p>
        </w:tc>
        <w:tc>
          <w:tcPr>
            <w:tcW w:w="499" w:type="pct"/>
            <w:shd w:val="clear" w:color="auto" w:fill="auto"/>
            <w:vAlign w:val="center"/>
          </w:tcPr>
          <w:p w14:paraId="5E3A4B4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7D663A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55D8A56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3AF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36B18A06">
            <w:pPr>
              <w:widowControl/>
              <w:jc w:val="left"/>
              <w:rPr>
                <w:rFonts w:hint="eastAsia" w:ascii="宋体" w:hAnsi="宋体" w:cs="宋体"/>
                <w:kern w:val="0"/>
                <w:sz w:val="20"/>
                <w:szCs w:val="20"/>
              </w:rPr>
            </w:pPr>
          </w:p>
        </w:tc>
        <w:tc>
          <w:tcPr>
            <w:tcW w:w="786" w:type="pct"/>
            <w:shd w:val="clear" w:color="auto" w:fill="auto"/>
            <w:vAlign w:val="center"/>
          </w:tcPr>
          <w:p w14:paraId="5408E85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48" w:type="pct"/>
            <w:shd w:val="clear" w:color="auto" w:fill="auto"/>
            <w:vAlign w:val="center"/>
          </w:tcPr>
          <w:p w14:paraId="74C5209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51" w:type="pct"/>
            <w:shd w:val="clear" w:color="auto" w:fill="auto"/>
            <w:vAlign w:val="center"/>
          </w:tcPr>
          <w:p w14:paraId="4981729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31" w:type="pct"/>
            <w:shd w:val="clear" w:color="auto" w:fill="auto"/>
            <w:vAlign w:val="center"/>
          </w:tcPr>
          <w:p w14:paraId="0616DEC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99" w:type="pct"/>
            <w:shd w:val="clear" w:color="auto" w:fill="auto"/>
            <w:vAlign w:val="center"/>
          </w:tcPr>
          <w:p w14:paraId="366E62A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43CB3DA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670987E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9EE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3BF3CB7E">
            <w:pPr>
              <w:widowControl/>
              <w:jc w:val="left"/>
              <w:rPr>
                <w:rFonts w:hint="eastAsia" w:ascii="宋体" w:hAnsi="宋体" w:cs="宋体"/>
                <w:kern w:val="0"/>
                <w:sz w:val="20"/>
                <w:szCs w:val="20"/>
              </w:rPr>
            </w:pPr>
          </w:p>
        </w:tc>
        <w:tc>
          <w:tcPr>
            <w:tcW w:w="786" w:type="pct"/>
            <w:shd w:val="clear" w:color="auto" w:fill="auto"/>
            <w:vAlign w:val="center"/>
          </w:tcPr>
          <w:p w14:paraId="12D28136">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48" w:type="pct"/>
            <w:shd w:val="clear" w:color="auto" w:fill="auto"/>
            <w:vAlign w:val="center"/>
          </w:tcPr>
          <w:p w14:paraId="30B39F5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98.60</w:t>
            </w:r>
          </w:p>
        </w:tc>
        <w:tc>
          <w:tcPr>
            <w:tcW w:w="751" w:type="pct"/>
            <w:shd w:val="clear" w:color="auto" w:fill="auto"/>
            <w:vAlign w:val="center"/>
          </w:tcPr>
          <w:p w14:paraId="75F4218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758.09</w:t>
            </w:r>
          </w:p>
        </w:tc>
        <w:tc>
          <w:tcPr>
            <w:tcW w:w="831" w:type="pct"/>
            <w:shd w:val="clear" w:color="auto" w:fill="auto"/>
            <w:vAlign w:val="center"/>
          </w:tcPr>
          <w:p w14:paraId="31B6DA8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758.06</w:t>
            </w:r>
          </w:p>
        </w:tc>
        <w:tc>
          <w:tcPr>
            <w:tcW w:w="499" w:type="pct"/>
            <w:shd w:val="clear" w:color="auto" w:fill="auto"/>
            <w:vAlign w:val="center"/>
          </w:tcPr>
          <w:p w14:paraId="4EE99C5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731FC41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24B39F2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191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5F65373E">
            <w:pPr>
              <w:widowControl/>
              <w:jc w:val="left"/>
              <w:rPr>
                <w:rFonts w:hint="eastAsia" w:ascii="宋体" w:hAnsi="宋体" w:cs="宋体"/>
                <w:kern w:val="0"/>
                <w:sz w:val="20"/>
                <w:szCs w:val="20"/>
              </w:rPr>
            </w:pPr>
          </w:p>
        </w:tc>
        <w:tc>
          <w:tcPr>
            <w:tcW w:w="786" w:type="pct"/>
            <w:shd w:val="clear" w:color="auto" w:fill="auto"/>
            <w:vAlign w:val="center"/>
          </w:tcPr>
          <w:p w14:paraId="49051F1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48" w:type="pct"/>
            <w:shd w:val="clear" w:color="auto" w:fill="auto"/>
            <w:vAlign w:val="center"/>
          </w:tcPr>
          <w:p w14:paraId="648584F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51" w:type="pct"/>
            <w:shd w:val="clear" w:color="auto" w:fill="auto"/>
            <w:vAlign w:val="center"/>
          </w:tcPr>
          <w:p w14:paraId="714B2E5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31" w:type="pct"/>
            <w:shd w:val="clear" w:color="auto" w:fill="auto"/>
            <w:vAlign w:val="center"/>
          </w:tcPr>
          <w:p w14:paraId="6C3D3F9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99" w:type="pct"/>
            <w:shd w:val="clear" w:color="auto" w:fill="auto"/>
            <w:vAlign w:val="center"/>
          </w:tcPr>
          <w:p w14:paraId="04BDF72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06BF3E8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71CF879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6F7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78E7AEFF">
            <w:pPr>
              <w:widowControl/>
              <w:jc w:val="left"/>
              <w:rPr>
                <w:rFonts w:hint="eastAsia" w:ascii="宋体" w:hAnsi="宋体" w:cs="宋体"/>
                <w:kern w:val="0"/>
                <w:sz w:val="20"/>
                <w:szCs w:val="20"/>
              </w:rPr>
            </w:pPr>
          </w:p>
        </w:tc>
        <w:tc>
          <w:tcPr>
            <w:tcW w:w="786" w:type="pct"/>
            <w:shd w:val="clear" w:color="auto" w:fill="auto"/>
            <w:vAlign w:val="center"/>
          </w:tcPr>
          <w:p w14:paraId="6B31626C">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48" w:type="pct"/>
            <w:shd w:val="clear" w:color="auto" w:fill="auto"/>
            <w:vAlign w:val="center"/>
          </w:tcPr>
          <w:p w14:paraId="6099B7C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667.99</w:t>
            </w:r>
          </w:p>
        </w:tc>
        <w:tc>
          <w:tcPr>
            <w:tcW w:w="751" w:type="pct"/>
            <w:shd w:val="clear" w:color="auto" w:fill="auto"/>
            <w:vAlign w:val="center"/>
          </w:tcPr>
          <w:p w14:paraId="042B3DF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1,392.79</w:t>
            </w:r>
          </w:p>
        </w:tc>
        <w:tc>
          <w:tcPr>
            <w:tcW w:w="831" w:type="pct"/>
            <w:shd w:val="clear" w:color="auto" w:fill="auto"/>
            <w:vAlign w:val="center"/>
          </w:tcPr>
          <w:p w14:paraId="09F4A77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1,392.76</w:t>
            </w:r>
          </w:p>
        </w:tc>
        <w:tc>
          <w:tcPr>
            <w:tcW w:w="499" w:type="pct"/>
            <w:shd w:val="clear" w:color="auto" w:fill="auto"/>
            <w:vAlign w:val="center"/>
          </w:tcPr>
          <w:p w14:paraId="09CA24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2AF3984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5E24DB2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0F1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92" w:type="pct"/>
            <w:vMerge w:val="restart"/>
            <w:shd w:val="clear" w:color="auto" w:fill="auto"/>
            <w:vAlign w:val="center"/>
          </w:tcPr>
          <w:p w14:paraId="2C5899E6">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85" w:type="pct"/>
            <w:gridSpan w:val="3"/>
            <w:shd w:val="clear" w:color="auto" w:fill="auto"/>
            <w:noWrap/>
            <w:vAlign w:val="center"/>
          </w:tcPr>
          <w:p w14:paraId="5E14C87F">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23" w:type="pct"/>
            <w:gridSpan w:val="4"/>
            <w:shd w:val="clear" w:color="auto" w:fill="auto"/>
            <w:noWrap/>
            <w:vAlign w:val="center"/>
          </w:tcPr>
          <w:p w14:paraId="5E5C95F6">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031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92" w:type="pct"/>
            <w:vMerge w:val="continue"/>
            <w:vAlign w:val="center"/>
          </w:tcPr>
          <w:p w14:paraId="7DE2A2AA">
            <w:pPr>
              <w:widowControl/>
              <w:jc w:val="left"/>
              <w:rPr>
                <w:rFonts w:hint="eastAsia" w:ascii="宋体" w:hAnsi="宋体" w:cs="宋体"/>
                <w:kern w:val="0"/>
                <w:sz w:val="20"/>
                <w:szCs w:val="20"/>
              </w:rPr>
            </w:pPr>
          </w:p>
        </w:tc>
        <w:tc>
          <w:tcPr>
            <w:tcW w:w="2285" w:type="pct"/>
            <w:gridSpan w:val="3"/>
            <w:shd w:val="clear" w:color="auto" w:fill="auto"/>
            <w:vAlign w:val="center"/>
          </w:tcPr>
          <w:p w14:paraId="7A875DEC">
            <w:pPr>
              <w:widowControl/>
              <w:jc w:val="center"/>
              <w:rPr>
                <w:rFonts w:hint="eastAsia" w:ascii="宋体" w:hAnsi="宋体" w:cs="宋体"/>
                <w:kern w:val="0"/>
                <w:sz w:val="20"/>
                <w:szCs w:val="20"/>
              </w:rPr>
            </w:pPr>
            <w:r>
              <w:rPr>
                <w:rFonts w:hint="eastAsia" w:ascii="宋体" w:hAnsi="宋体" w:cs="宋体"/>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2023" w:type="pct"/>
            <w:gridSpan w:val="4"/>
            <w:shd w:val="clear" w:color="auto" w:fill="auto"/>
            <w:vAlign w:val="center"/>
          </w:tcPr>
          <w:p w14:paraId="362B24D7">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14:paraId="130A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92" w:type="pct"/>
            <w:shd w:val="clear" w:color="auto" w:fill="auto"/>
            <w:vAlign w:val="center"/>
          </w:tcPr>
          <w:p w14:paraId="66D49A3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786" w:type="pct"/>
            <w:shd w:val="clear" w:color="auto" w:fill="auto"/>
            <w:vAlign w:val="center"/>
          </w:tcPr>
          <w:p w14:paraId="052E228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48" w:type="pct"/>
            <w:shd w:val="clear" w:color="auto" w:fill="auto"/>
            <w:vAlign w:val="center"/>
          </w:tcPr>
          <w:p w14:paraId="55EE6A81">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51" w:type="pct"/>
            <w:shd w:val="clear" w:color="auto" w:fill="auto"/>
            <w:vAlign w:val="center"/>
          </w:tcPr>
          <w:p w14:paraId="3678C72F">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831" w:type="pct"/>
            <w:shd w:val="clear" w:color="auto" w:fill="auto"/>
            <w:vAlign w:val="center"/>
          </w:tcPr>
          <w:p w14:paraId="527E1444">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99" w:type="pct"/>
            <w:shd w:val="clear" w:color="auto" w:fill="auto"/>
            <w:vAlign w:val="center"/>
          </w:tcPr>
          <w:p w14:paraId="49DC456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14" w:type="pct"/>
            <w:shd w:val="clear" w:color="auto" w:fill="auto"/>
            <w:vAlign w:val="center"/>
          </w:tcPr>
          <w:p w14:paraId="225F4BF3">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279" w:type="pct"/>
            <w:shd w:val="clear" w:color="auto" w:fill="auto"/>
            <w:vAlign w:val="center"/>
          </w:tcPr>
          <w:p w14:paraId="3CF1605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9E6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vAlign w:val="center"/>
          </w:tcPr>
          <w:p w14:paraId="0703B82A">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786" w:type="pct"/>
            <w:shd w:val="clear" w:color="auto" w:fill="auto"/>
            <w:vAlign w:val="center"/>
          </w:tcPr>
          <w:p w14:paraId="34BCDD1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48" w:type="pct"/>
            <w:shd w:val="clear" w:color="auto" w:fill="auto"/>
            <w:vAlign w:val="center"/>
          </w:tcPr>
          <w:p w14:paraId="4C7B10FA">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751" w:type="pct"/>
            <w:shd w:val="clear" w:color="auto" w:fill="auto"/>
            <w:vAlign w:val="center"/>
          </w:tcPr>
          <w:p w14:paraId="28471B31">
            <w:pPr>
              <w:widowControl/>
              <w:jc w:val="center"/>
              <w:rPr>
                <w:rFonts w:hint="eastAsia" w:ascii="宋体" w:hAnsi="宋体" w:cs="宋体"/>
                <w:kern w:val="0"/>
                <w:sz w:val="20"/>
                <w:szCs w:val="20"/>
              </w:rPr>
            </w:pPr>
            <w:r>
              <w:rPr>
                <w:rFonts w:hint="eastAsia" w:ascii="宋体" w:hAnsi="宋体" w:cs="宋体"/>
                <w:kern w:val="0"/>
                <w:sz w:val="20"/>
                <w:szCs w:val="20"/>
              </w:rPr>
              <w:t>&gt;=7人</w:t>
            </w:r>
          </w:p>
        </w:tc>
        <w:tc>
          <w:tcPr>
            <w:tcW w:w="831" w:type="pct"/>
            <w:shd w:val="clear" w:color="auto" w:fill="auto"/>
            <w:vAlign w:val="center"/>
          </w:tcPr>
          <w:p w14:paraId="4AEAEE82">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中共木垒县委员会办公室木垒县人民政府办公室关于印发《木垒哈萨克自治县退役军人事务局职能配置、内设机构和人员编制规定》的通知</w:t>
            </w:r>
          </w:p>
        </w:tc>
        <w:tc>
          <w:tcPr>
            <w:tcW w:w="499" w:type="pct"/>
            <w:shd w:val="clear" w:color="auto" w:fill="auto"/>
            <w:vAlign w:val="center"/>
          </w:tcPr>
          <w:p w14:paraId="31CCC48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179D081A">
            <w:pPr>
              <w:widowControl/>
              <w:jc w:val="center"/>
              <w:rPr>
                <w:rFonts w:hint="eastAsia" w:ascii="宋体" w:hAnsi="宋体" w:cs="宋体"/>
                <w:kern w:val="0"/>
                <w:sz w:val="20"/>
                <w:szCs w:val="20"/>
              </w:rPr>
            </w:pPr>
            <w:r>
              <w:rPr>
                <w:rFonts w:hint="eastAsia" w:ascii="宋体" w:hAnsi="宋体" w:cs="宋体"/>
                <w:kern w:val="0"/>
                <w:sz w:val="20"/>
                <w:szCs w:val="20"/>
              </w:rPr>
              <w:t>8人</w:t>
            </w:r>
          </w:p>
        </w:tc>
        <w:tc>
          <w:tcPr>
            <w:tcW w:w="279" w:type="pct"/>
            <w:shd w:val="clear" w:color="auto" w:fill="auto"/>
            <w:vAlign w:val="center"/>
          </w:tcPr>
          <w:p w14:paraId="7E4C8DB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030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restart"/>
            <w:shd w:val="clear" w:color="auto" w:fill="auto"/>
            <w:vAlign w:val="center"/>
          </w:tcPr>
          <w:p w14:paraId="7030BD8C">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786" w:type="pct"/>
            <w:vMerge w:val="restart"/>
            <w:shd w:val="clear" w:color="auto" w:fill="auto"/>
            <w:vAlign w:val="center"/>
          </w:tcPr>
          <w:p w14:paraId="18E492C2">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748" w:type="pct"/>
            <w:shd w:val="clear" w:color="auto" w:fill="auto"/>
            <w:vAlign w:val="center"/>
          </w:tcPr>
          <w:p w14:paraId="13DEC95D">
            <w:pPr>
              <w:widowControl/>
              <w:jc w:val="center"/>
              <w:rPr>
                <w:rFonts w:hint="eastAsia" w:ascii="宋体" w:hAnsi="宋体" w:cs="宋体"/>
                <w:kern w:val="0"/>
                <w:sz w:val="20"/>
                <w:szCs w:val="20"/>
              </w:rPr>
            </w:pPr>
            <w:r>
              <w:rPr>
                <w:rFonts w:hint="eastAsia" w:ascii="宋体" w:hAnsi="宋体" w:cs="宋体"/>
                <w:kern w:val="0"/>
                <w:sz w:val="20"/>
                <w:szCs w:val="20"/>
              </w:rPr>
              <w:t>退役军人技能培训合格率</w:t>
            </w:r>
          </w:p>
        </w:tc>
        <w:tc>
          <w:tcPr>
            <w:tcW w:w="751" w:type="pct"/>
            <w:shd w:val="clear" w:color="auto" w:fill="auto"/>
            <w:vAlign w:val="center"/>
          </w:tcPr>
          <w:p w14:paraId="64DFA0B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vAlign w:val="center"/>
          </w:tcPr>
          <w:p w14:paraId="72249112">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7FDE5985">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14" w:type="pct"/>
            <w:shd w:val="clear" w:color="auto" w:fill="auto"/>
            <w:vAlign w:val="center"/>
          </w:tcPr>
          <w:p w14:paraId="101D386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4C0AAA3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315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6C468114">
            <w:pPr>
              <w:widowControl/>
              <w:jc w:val="left"/>
              <w:rPr>
                <w:rFonts w:hint="eastAsia" w:ascii="宋体" w:hAnsi="宋体" w:cs="宋体"/>
                <w:kern w:val="0"/>
                <w:sz w:val="20"/>
                <w:szCs w:val="20"/>
              </w:rPr>
            </w:pPr>
          </w:p>
        </w:tc>
        <w:tc>
          <w:tcPr>
            <w:tcW w:w="786" w:type="pct"/>
            <w:vMerge w:val="continue"/>
            <w:vAlign w:val="center"/>
          </w:tcPr>
          <w:p w14:paraId="67D2BEDF">
            <w:pPr>
              <w:widowControl/>
              <w:jc w:val="left"/>
              <w:rPr>
                <w:rFonts w:hint="eastAsia" w:ascii="宋体" w:hAnsi="宋体" w:cs="宋体"/>
                <w:kern w:val="0"/>
                <w:sz w:val="20"/>
                <w:szCs w:val="20"/>
              </w:rPr>
            </w:pPr>
          </w:p>
        </w:tc>
        <w:tc>
          <w:tcPr>
            <w:tcW w:w="748" w:type="pct"/>
            <w:shd w:val="clear" w:color="auto" w:fill="auto"/>
            <w:vAlign w:val="center"/>
          </w:tcPr>
          <w:p w14:paraId="1AF14C5A">
            <w:pPr>
              <w:widowControl/>
              <w:jc w:val="center"/>
              <w:rPr>
                <w:rFonts w:hint="eastAsia" w:ascii="宋体" w:hAnsi="宋体" w:cs="宋体"/>
                <w:kern w:val="0"/>
                <w:sz w:val="20"/>
                <w:szCs w:val="20"/>
              </w:rPr>
            </w:pPr>
            <w:r>
              <w:rPr>
                <w:rFonts w:hint="eastAsia" w:ascii="宋体" w:hAnsi="宋体" w:cs="宋体"/>
                <w:kern w:val="0"/>
                <w:sz w:val="20"/>
                <w:szCs w:val="20"/>
              </w:rPr>
              <w:t>优抚对象生活补助资金到位率</w:t>
            </w:r>
          </w:p>
        </w:tc>
        <w:tc>
          <w:tcPr>
            <w:tcW w:w="751" w:type="pct"/>
            <w:shd w:val="clear" w:color="auto" w:fill="auto"/>
            <w:vAlign w:val="center"/>
          </w:tcPr>
          <w:p w14:paraId="360ADC4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vAlign w:val="center"/>
          </w:tcPr>
          <w:p w14:paraId="59B189DA">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0B0245E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14" w:type="pct"/>
            <w:shd w:val="clear" w:color="auto" w:fill="auto"/>
            <w:vAlign w:val="center"/>
          </w:tcPr>
          <w:p w14:paraId="7140F40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63DF92F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FAF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restart"/>
            <w:shd w:val="clear" w:color="auto" w:fill="auto"/>
            <w:vAlign w:val="center"/>
          </w:tcPr>
          <w:p w14:paraId="3A13D97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786" w:type="pct"/>
            <w:vMerge w:val="restart"/>
            <w:shd w:val="clear" w:color="auto" w:fill="auto"/>
            <w:vAlign w:val="center"/>
          </w:tcPr>
          <w:p w14:paraId="268B8F4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48" w:type="pct"/>
            <w:shd w:val="clear" w:color="auto" w:fill="auto"/>
            <w:vAlign w:val="center"/>
          </w:tcPr>
          <w:p w14:paraId="5303EB09">
            <w:pPr>
              <w:widowControl/>
              <w:jc w:val="center"/>
              <w:rPr>
                <w:rFonts w:hint="eastAsia" w:ascii="宋体" w:hAnsi="宋体" w:cs="宋体"/>
                <w:kern w:val="0"/>
                <w:sz w:val="20"/>
                <w:szCs w:val="20"/>
              </w:rPr>
            </w:pPr>
            <w:r>
              <w:rPr>
                <w:rFonts w:hint="eastAsia" w:ascii="宋体" w:hAnsi="宋体" w:cs="宋体"/>
                <w:kern w:val="0"/>
                <w:sz w:val="20"/>
                <w:szCs w:val="20"/>
              </w:rPr>
              <w:t>打造退役军人（双拥）志愿服务队数量</w:t>
            </w:r>
          </w:p>
        </w:tc>
        <w:tc>
          <w:tcPr>
            <w:tcW w:w="751" w:type="pct"/>
            <w:shd w:val="clear" w:color="auto" w:fill="auto"/>
            <w:vAlign w:val="center"/>
          </w:tcPr>
          <w:p w14:paraId="585C8F1C">
            <w:pPr>
              <w:widowControl/>
              <w:jc w:val="center"/>
              <w:rPr>
                <w:rFonts w:hint="eastAsia" w:ascii="宋体" w:hAnsi="宋体" w:cs="宋体"/>
                <w:kern w:val="0"/>
                <w:sz w:val="20"/>
                <w:szCs w:val="20"/>
              </w:rPr>
            </w:pPr>
            <w:r>
              <w:rPr>
                <w:rFonts w:hint="eastAsia" w:ascii="宋体" w:hAnsi="宋体" w:cs="宋体"/>
                <w:kern w:val="0"/>
                <w:sz w:val="20"/>
                <w:szCs w:val="20"/>
              </w:rPr>
              <w:t>&gt;=2个</w:t>
            </w:r>
          </w:p>
        </w:tc>
        <w:tc>
          <w:tcPr>
            <w:tcW w:w="831" w:type="pct"/>
            <w:shd w:val="clear" w:color="auto" w:fill="auto"/>
            <w:vAlign w:val="center"/>
          </w:tcPr>
          <w:p w14:paraId="71EB1304">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6245653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1B496E1D">
            <w:pPr>
              <w:widowControl/>
              <w:jc w:val="center"/>
              <w:rPr>
                <w:rFonts w:hint="eastAsia" w:ascii="宋体" w:hAnsi="宋体" w:cs="宋体"/>
                <w:kern w:val="0"/>
                <w:sz w:val="20"/>
                <w:szCs w:val="20"/>
              </w:rPr>
            </w:pPr>
            <w:r>
              <w:rPr>
                <w:rFonts w:hint="eastAsia" w:ascii="宋体" w:hAnsi="宋体" w:cs="宋体"/>
                <w:kern w:val="0"/>
                <w:sz w:val="20"/>
                <w:szCs w:val="20"/>
              </w:rPr>
              <w:t>2个</w:t>
            </w:r>
          </w:p>
        </w:tc>
        <w:tc>
          <w:tcPr>
            <w:tcW w:w="279" w:type="pct"/>
            <w:shd w:val="clear" w:color="auto" w:fill="auto"/>
            <w:vAlign w:val="center"/>
          </w:tcPr>
          <w:p w14:paraId="6B1214A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6AC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042E5715">
            <w:pPr>
              <w:widowControl/>
              <w:jc w:val="left"/>
              <w:rPr>
                <w:rFonts w:hint="eastAsia" w:ascii="宋体" w:hAnsi="宋体" w:cs="宋体"/>
                <w:kern w:val="0"/>
                <w:sz w:val="20"/>
                <w:szCs w:val="20"/>
              </w:rPr>
            </w:pPr>
          </w:p>
        </w:tc>
        <w:tc>
          <w:tcPr>
            <w:tcW w:w="786" w:type="pct"/>
            <w:vMerge w:val="continue"/>
            <w:vAlign w:val="center"/>
          </w:tcPr>
          <w:p w14:paraId="00CF8006">
            <w:pPr>
              <w:widowControl/>
              <w:jc w:val="left"/>
              <w:rPr>
                <w:rFonts w:hint="eastAsia" w:ascii="宋体" w:hAnsi="宋体" w:cs="宋体"/>
                <w:kern w:val="0"/>
                <w:sz w:val="20"/>
                <w:szCs w:val="20"/>
              </w:rPr>
            </w:pPr>
          </w:p>
        </w:tc>
        <w:tc>
          <w:tcPr>
            <w:tcW w:w="748" w:type="pct"/>
            <w:shd w:val="clear" w:color="auto" w:fill="auto"/>
            <w:vAlign w:val="center"/>
          </w:tcPr>
          <w:p w14:paraId="336F0CEB">
            <w:pPr>
              <w:widowControl/>
              <w:jc w:val="center"/>
              <w:rPr>
                <w:rFonts w:hint="eastAsia" w:ascii="宋体" w:hAnsi="宋体" w:cs="宋体"/>
                <w:kern w:val="0"/>
                <w:sz w:val="20"/>
                <w:szCs w:val="20"/>
              </w:rPr>
            </w:pPr>
            <w:r>
              <w:rPr>
                <w:rFonts w:hint="eastAsia" w:ascii="宋体" w:hAnsi="宋体" w:cs="宋体"/>
                <w:kern w:val="0"/>
                <w:sz w:val="20"/>
                <w:szCs w:val="20"/>
              </w:rPr>
              <w:t>开展拥军优属活动次数</w:t>
            </w:r>
          </w:p>
        </w:tc>
        <w:tc>
          <w:tcPr>
            <w:tcW w:w="751" w:type="pct"/>
            <w:shd w:val="clear" w:color="auto" w:fill="auto"/>
            <w:vAlign w:val="center"/>
          </w:tcPr>
          <w:p w14:paraId="464F69B1">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831" w:type="pct"/>
            <w:shd w:val="clear" w:color="auto" w:fill="auto"/>
            <w:vAlign w:val="center"/>
          </w:tcPr>
          <w:p w14:paraId="6F9673DE">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79E7F59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52C5C26D">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279" w:type="pct"/>
            <w:shd w:val="clear" w:color="auto" w:fill="auto"/>
            <w:vAlign w:val="center"/>
          </w:tcPr>
          <w:p w14:paraId="07C0B35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FC4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200FDF62">
            <w:pPr>
              <w:widowControl/>
              <w:jc w:val="left"/>
              <w:rPr>
                <w:rFonts w:hint="eastAsia" w:ascii="宋体" w:hAnsi="宋体" w:cs="宋体"/>
                <w:kern w:val="0"/>
                <w:sz w:val="20"/>
                <w:szCs w:val="20"/>
              </w:rPr>
            </w:pPr>
          </w:p>
        </w:tc>
        <w:tc>
          <w:tcPr>
            <w:tcW w:w="786" w:type="pct"/>
            <w:vMerge w:val="restart"/>
            <w:shd w:val="clear" w:color="auto" w:fill="auto"/>
            <w:vAlign w:val="center"/>
          </w:tcPr>
          <w:p w14:paraId="1BF9658E">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748" w:type="pct"/>
            <w:shd w:val="clear" w:color="auto" w:fill="auto"/>
            <w:vAlign w:val="center"/>
          </w:tcPr>
          <w:p w14:paraId="49B9BFD8">
            <w:pPr>
              <w:widowControl/>
              <w:jc w:val="center"/>
              <w:rPr>
                <w:rFonts w:hint="eastAsia" w:ascii="宋体" w:hAnsi="宋体" w:cs="宋体"/>
                <w:kern w:val="0"/>
                <w:sz w:val="20"/>
                <w:szCs w:val="20"/>
              </w:rPr>
            </w:pPr>
            <w:r>
              <w:rPr>
                <w:rFonts w:hint="eastAsia" w:ascii="宋体" w:hAnsi="宋体" w:cs="宋体"/>
                <w:kern w:val="0"/>
                <w:sz w:val="20"/>
                <w:szCs w:val="20"/>
              </w:rPr>
              <w:t>处理退役军人来信来访及接待退役军人来访率</w:t>
            </w:r>
          </w:p>
        </w:tc>
        <w:tc>
          <w:tcPr>
            <w:tcW w:w="751" w:type="pct"/>
            <w:shd w:val="clear" w:color="auto" w:fill="auto"/>
            <w:vAlign w:val="center"/>
          </w:tcPr>
          <w:p w14:paraId="7601915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vAlign w:val="center"/>
          </w:tcPr>
          <w:p w14:paraId="3531A893">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4D1CCD8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6505310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1337690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8BE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390F65CA">
            <w:pPr>
              <w:widowControl/>
              <w:jc w:val="left"/>
              <w:rPr>
                <w:rFonts w:hint="eastAsia" w:ascii="宋体" w:hAnsi="宋体" w:cs="宋体"/>
                <w:kern w:val="0"/>
                <w:sz w:val="20"/>
                <w:szCs w:val="20"/>
              </w:rPr>
            </w:pPr>
          </w:p>
        </w:tc>
        <w:tc>
          <w:tcPr>
            <w:tcW w:w="786" w:type="pct"/>
            <w:vMerge w:val="continue"/>
            <w:vAlign w:val="center"/>
          </w:tcPr>
          <w:p w14:paraId="1EC0B806">
            <w:pPr>
              <w:widowControl/>
              <w:jc w:val="left"/>
              <w:rPr>
                <w:rFonts w:hint="eastAsia" w:ascii="宋体" w:hAnsi="宋体" w:cs="宋体"/>
                <w:kern w:val="0"/>
                <w:sz w:val="20"/>
                <w:szCs w:val="20"/>
              </w:rPr>
            </w:pPr>
          </w:p>
        </w:tc>
        <w:tc>
          <w:tcPr>
            <w:tcW w:w="748" w:type="pct"/>
            <w:shd w:val="clear" w:color="auto" w:fill="auto"/>
            <w:noWrap/>
            <w:vAlign w:val="center"/>
          </w:tcPr>
          <w:p w14:paraId="62607626">
            <w:pPr>
              <w:widowControl/>
              <w:jc w:val="left"/>
              <w:rPr>
                <w:rFonts w:hint="eastAsia" w:ascii="宋体" w:hAnsi="宋体" w:cs="宋体"/>
                <w:kern w:val="0"/>
                <w:sz w:val="20"/>
                <w:szCs w:val="20"/>
              </w:rPr>
            </w:pPr>
            <w:r>
              <w:rPr>
                <w:rFonts w:hint="eastAsia" w:ascii="宋体" w:hAnsi="宋体" w:cs="宋体"/>
                <w:kern w:val="0"/>
                <w:sz w:val="20"/>
                <w:szCs w:val="20"/>
              </w:rPr>
              <w:t>立功受奖送喜报到位率</w:t>
            </w:r>
          </w:p>
        </w:tc>
        <w:tc>
          <w:tcPr>
            <w:tcW w:w="751" w:type="pct"/>
            <w:shd w:val="clear" w:color="auto" w:fill="auto"/>
            <w:noWrap/>
            <w:vAlign w:val="center"/>
          </w:tcPr>
          <w:p w14:paraId="29A183F2">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noWrap/>
            <w:vAlign w:val="center"/>
          </w:tcPr>
          <w:p w14:paraId="344FA339">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6E35800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157E2AFF">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noWrap/>
            <w:vAlign w:val="center"/>
          </w:tcPr>
          <w:p w14:paraId="24443C00">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278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70DF4976">
            <w:pPr>
              <w:widowControl/>
              <w:jc w:val="left"/>
              <w:rPr>
                <w:rFonts w:hint="eastAsia" w:ascii="宋体" w:hAnsi="宋体" w:cs="宋体"/>
                <w:kern w:val="0"/>
                <w:sz w:val="20"/>
                <w:szCs w:val="20"/>
              </w:rPr>
            </w:pPr>
          </w:p>
        </w:tc>
        <w:tc>
          <w:tcPr>
            <w:tcW w:w="786" w:type="pct"/>
            <w:vMerge w:val="continue"/>
            <w:vAlign w:val="center"/>
          </w:tcPr>
          <w:p w14:paraId="41122B27">
            <w:pPr>
              <w:widowControl/>
              <w:jc w:val="left"/>
              <w:rPr>
                <w:rFonts w:hint="eastAsia" w:ascii="宋体" w:hAnsi="宋体" w:cs="宋体"/>
                <w:kern w:val="0"/>
                <w:sz w:val="20"/>
                <w:szCs w:val="20"/>
              </w:rPr>
            </w:pPr>
          </w:p>
        </w:tc>
        <w:tc>
          <w:tcPr>
            <w:tcW w:w="748" w:type="pct"/>
            <w:shd w:val="clear" w:color="auto" w:fill="auto"/>
            <w:noWrap/>
            <w:vAlign w:val="center"/>
          </w:tcPr>
          <w:p w14:paraId="710E5799">
            <w:pPr>
              <w:widowControl/>
              <w:jc w:val="left"/>
              <w:rPr>
                <w:rFonts w:hint="eastAsia" w:ascii="宋体" w:hAnsi="宋体" w:cs="宋体"/>
                <w:kern w:val="0"/>
                <w:sz w:val="20"/>
                <w:szCs w:val="20"/>
              </w:rPr>
            </w:pPr>
            <w:r>
              <w:rPr>
                <w:rFonts w:hint="eastAsia" w:ascii="宋体" w:hAnsi="宋体" w:cs="宋体"/>
                <w:kern w:val="0"/>
                <w:sz w:val="20"/>
                <w:szCs w:val="20"/>
              </w:rPr>
              <w:t>打造拥军示范品牌点数量</w:t>
            </w:r>
          </w:p>
        </w:tc>
        <w:tc>
          <w:tcPr>
            <w:tcW w:w="751" w:type="pct"/>
            <w:shd w:val="clear" w:color="auto" w:fill="auto"/>
            <w:noWrap/>
            <w:vAlign w:val="center"/>
          </w:tcPr>
          <w:p w14:paraId="4E438004">
            <w:pPr>
              <w:widowControl/>
              <w:jc w:val="left"/>
              <w:rPr>
                <w:rFonts w:hint="eastAsia" w:ascii="宋体" w:hAnsi="宋体" w:cs="宋体"/>
                <w:kern w:val="0"/>
                <w:sz w:val="20"/>
                <w:szCs w:val="20"/>
              </w:rPr>
            </w:pPr>
            <w:r>
              <w:rPr>
                <w:rFonts w:hint="eastAsia" w:ascii="宋体" w:hAnsi="宋体" w:cs="宋体"/>
                <w:kern w:val="0"/>
                <w:sz w:val="20"/>
                <w:szCs w:val="20"/>
              </w:rPr>
              <w:t>&gt;=1个</w:t>
            </w:r>
          </w:p>
        </w:tc>
        <w:tc>
          <w:tcPr>
            <w:tcW w:w="831" w:type="pct"/>
            <w:shd w:val="clear" w:color="auto" w:fill="auto"/>
            <w:noWrap/>
            <w:vAlign w:val="center"/>
          </w:tcPr>
          <w:p w14:paraId="0E9307FA">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39A5B23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24B31B96">
            <w:pPr>
              <w:widowControl/>
              <w:jc w:val="left"/>
              <w:rPr>
                <w:rFonts w:hint="eastAsia" w:ascii="宋体" w:hAnsi="宋体" w:cs="宋体"/>
                <w:kern w:val="0"/>
                <w:sz w:val="20"/>
                <w:szCs w:val="20"/>
              </w:rPr>
            </w:pPr>
            <w:r>
              <w:rPr>
                <w:rFonts w:hint="eastAsia" w:ascii="宋体" w:hAnsi="宋体" w:cs="宋体"/>
                <w:kern w:val="0"/>
                <w:sz w:val="20"/>
                <w:szCs w:val="20"/>
              </w:rPr>
              <w:t>1个</w:t>
            </w:r>
          </w:p>
        </w:tc>
        <w:tc>
          <w:tcPr>
            <w:tcW w:w="279" w:type="pct"/>
            <w:shd w:val="clear" w:color="auto" w:fill="auto"/>
            <w:noWrap/>
            <w:vAlign w:val="center"/>
          </w:tcPr>
          <w:p w14:paraId="06360C0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7119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noWrap/>
            <w:vAlign w:val="center"/>
          </w:tcPr>
          <w:p w14:paraId="3C4C679E">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786" w:type="pct"/>
            <w:vMerge w:val="continue"/>
            <w:vAlign w:val="center"/>
          </w:tcPr>
          <w:p w14:paraId="5A2FE533">
            <w:pPr>
              <w:widowControl/>
              <w:jc w:val="left"/>
              <w:rPr>
                <w:rFonts w:hint="eastAsia" w:ascii="宋体" w:hAnsi="宋体" w:cs="宋体"/>
                <w:kern w:val="0"/>
                <w:sz w:val="20"/>
                <w:szCs w:val="20"/>
              </w:rPr>
            </w:pPr>
          </w:p>
        </w:tc>
        <w:tc>
          <w:tcPr>
            <w:tcW w:w="748" w:type="pct"/>
            <w:shd w:val="clear" w:color="auto" w:fill="auto"/>
            <w:noWrap/>
            <w:vAlign w:val="center"/>
          </w:tcPr>
          <w:p w14:paraId="7A78B655">
            <w:pPr>
              <w:widowControl/>
              <w:jc w:val="left"/>
              <w:rPr>
                <w:rFonts w:hint="eastAsia" w:ascii="宋体" w:hAnsi="宋体" w:cs="宋体"/>
                <w:kern w:val="0"/>
                <w:sz w:val="20"/>
                <w:szCs w:val="20"/>
              </w:rPr>
            </w:pPr>
            <w:r>
              <w:rPr>
                <w:rFonts w:hint="eastAsia" w:ascii="宋体" w:hAnsi="宋体" w:cs="宋体"/>
                <w:kern w:val="0"/>
                <w:sz w:val="20"/>
                <w:szCs w:val="20"/>
              </w:rPr>
              <w:t>退役军人信访事件下降率</w:t>
            </w:r>
          </w:p>
        </w:tc>
        <w:tc>
          <w:tcPr>
            <w:tcW w:w="751" w:type="pct"/>
            <w:shd w:val="clear" w:color="auto" w:fill="auto"/>
            <w:noWrap/>
            <w:vAlign w:val="center"/>
          </w:tcPr>
          <w:p w14:paraId="03F7CECC">
            <w:pPr>
              <w:widowControl/>
              <w:jc w:val="left"/>
              <w:rPr>
                <w:rFonts w:hint="eastAsia" w:ascii="宋体" w:hAnsi="宋体" w:cs="宋体"/>
                <w:kern w:val="0"/>
                <w:sz w:val="20"/>
                <w:szCs w:val="20"/>
              </w:rPr>
            </w:pPr>
            <w:r>
              <w:rPr>
                <w:rFonts w:hint="eastAsia" w:ascii="宋体" w:hAnsi="宋体" w:cs="宋体"/>
                <w:kern w:val="0"/>
                <w:sz w:val="20"/>
                <w:szCs w:val="20"/>
              </w:rPr>
              <w:t>&lt;=1%</w:t>
            </w:r>
          </w:p>
        </w:tc>
        <w:tc>
          <w:tcPr>
            <w:tcW w:w="831" w:type="pct"/>
            <w:shd w:val="clear" w:color="auto" w:fill="auto"/>
            <w:noWrap/>
            <w:vAlign w:val="center"/>
          </w:tcPr>
          <w:p w14:paraId="54C51B96">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28C01B2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6CDEF3A5">
            <w:pPr>
              <w:widowControl/>
              <w:jc w:val="left"/>
              <w:rPr>
                <w:rFonts w:hint="eastAsia" w:ascii="宋体" w:hAnsi="宋体" w:cs="宋体"/>
                <w:kern w:val="0"/>
                <w:sz w:val="20"/>
                <w:szCs w:val="20"/>
              </w:rPr>
            </w:pPr>
            <w:r>
              <w:rPr>
                <w:rFonts w:hint="eastAsia" w:ascii="宋体" w:hAnsi="宋体" w:cs="宋体"/>
                <w:kern w:val="0"/>
                <w:sz w:val="20"/>
                <w:szCs w:val="20"/>
              </w:rPr>
              <w:t>1%</w:t>
            </w:r>
          </w:p>
        </w:tc>
        <w:tc>
          <w:tcPr>
            <w:tcW w:w="279" w:type="pct"/>
            <w:shd w:val="clear" w:color="auto" w:fill="auto"/>
            <w:noWrap/>
            <w:vAlign w:val="center"/>
          </w:tcPr>
          <w:p w14:paraId="4035F58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3AFC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noWrap/>
            <w:vAlign w:val="center"/>
          </w:tcPr>
          <w:p w14:paraId="6E0CA6DF">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786" w:type="pct"/>
            <w:vMerge w:val="continue"/>
            <w:vAlign w:val="center"/>
          </w:tcPr>
          <w:p w14:paraId="766A9A0A">
            <w:pPr>
              <w:widowControl/>
              <w:jc w:val="left"/>
              <w:rPr>
                <w:rFonts w:hint="eastAsia" w:ascii="宋体" w:hAnsi="宋体" w:cs="宋体"/>
                <w:kern w:val="0"/>
                <w:sz w:val="20"/>
                <w:szCs w:val="20"/>
              </w:rPr>
            </w:pPr>
          </w:p>
        </w:tc>
        <w:tc>
          <w:tcPr>
            <w:tcW w:w="748" w:type="pct"/>
            <w:shd w:val="clear" w:color="auto" w:fill="auto"/>
            <w:noWrap/>
            <w:vAlign w:val="center"/>
          </w:tcPr>
          <w:p w14:paraId="72A47A86">
            <w:pPr>
              <w:widowControl/>
              <w:jc w:val="left"/>
              <w:rPr>
                <w:rFonts w:hint="eastAsia" w:ascii="宋体" w:hAnsi="宋体" w:cs="宋体"/>
                <w:kern w:val="0"/>
                <w:sz w:val="20"/>
                <w:szCs w:val="20"/>
              </w:rPr>
            </w:pPr>
          </w:p>
        </w:tc>
        <w:tc>
          <w:tcPr>
            <w:tcW w:w="751" w:type="pct"/>
            <w:shd w:val="clear" w:color="auto" w:fill="auto"/>
            <w:noWrap/>
            <w:vAlign w:val="center"/>
          </w:tcPr>
          <w:p w14:paraId="2AFD617D">
            <w:pPr>
              <w:widowControl/>
              <w:jc w:val="left"/>
              <w:rPr>
                <w:rFonts w:hint="eastAsia" w:ascii="宋体" w:hAnsi="宋体" w:cs="宋体"/>
                <w:kern w:val="0"/>
                <w:sz w:val="20"/>
                <w:szCs w:val="20"/>
              </w:rPr>
            </w:pPr>
          </w:p>
        </w:tc>
        <w:tc>
          <w:tcPr>
            <w:tcW w:w="831" w:type="pct"/>
            <w:shd w:val="clear" w:color="auto" w:fill="auto"/>
            <w:noWrap/>
            <w:vAlign w:val="center"/>
          </w:tcPr>
          <w:p w14:paraId="5591C729">
            <w:pPr>
              <w:widowControl/>
              <w:jc w:val="left"/>
              <w:rPr>
                <w:rFonts w:hint="eastAsia" w:ascii="宋体" w:hAnsi="宋体" w:cs="宋体"/>
                <w:kern w:val="0"/>
                <w:sz w:val="20"/>
                <w:szCs w:val="20"/>
              </w:rPr>
            </w:pPr>
          </w:p>
        </w:tc>
        <w:tc>
          <w:tcPr>
            <w:tcW w:w="499" w:type="pct"/>
            <w:shd w:val="clear" w:color="auto" w:fill="auto"/>
            <w:noWrap/>
            <w:vAlign w:val="center"/>
          </w:tcPr>
          <w:p w14:paraId="54924610">
            <w:pPr>
              <w:widowControl/>
              <w:jc w:val="left"/>
              <w:rPr>
                <w:rFonts w:hint="eastAsia" w:ascii="宋体" w:hAnsi="宋体" w:cs="宋体"/>
                <w:kern w:val="0"/>
                <w:sz w:val="20"/>
                <w:szCs w:val="20"/>
              </w:rPr>
            </w:pPr>
          </w:p>
        </w:tc>
        <w:tc>
          <w:tcPr>
            <w:tcW w:w="414" w:type="pct"/>
            <w:shd w:val="clear" w:color="auto" w:fill="auto"/>
            <w:noWrap/>
            <w:vAlign w:val="center"/>
          </w:tcPr>
          <w:p w14:paraId="0A96A94F">
            <w:pPr>
              <w:widowControl/>
              <w:jc w:val="left"/>
              <w:rPr>
                <w:rFonts w:hint="eastAsia" w:ascii="宋体" w:hAnsi="宋体" w:cs="宋体"/>
                <w:kern w:val="0"/>
                <w:sz w:val="20"/>
                <w:szCs w:val="20"/>
              </w:rPr>
            </w:pPr>
          </w:p>
        </w:tc>
        <w:tc>
          <w:tcPr>
            <w:tcW w:w="279" w:type="pct"/>
            <w:shd w:val="clear" w:color="auto" w:fill="auto"/>
            <w:noWrap/>
            <w:vAlign w:val="center"/>
          </w:tcPr>
          <w:p w14:paraId="50E9F8D7">
            <w:pPr>
              <w:widowControl/>
              <w:jc w:val="left"/>
              <w:rPr>
                <w:rFonts w:hint="eastAsia" w:ascii="宋体" w:hAnsi="宋体" w:cs="宋体"/>
                <w:kern w:val="0"/>
                <w:sz w:val="20"/>
                <w:szCs w:val="20"/>
              </w:rPr>
            </w:pPr>
          </w:p>
        </w:tc>
      </w:tr>
      <w:tr w14:paraId="044A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noWrap/>
            <w:vAlign w:val="center"/>
          </w:tcPr>
          <w:p w14:paraId="7823EC19">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786" w:type="pct"/>
            <w:vMerge w:val="continue"/>
            <w:vAlign w:val="center"/>
          </w:tcPr>
          <w:p w14:paraId="152579A4">
            <w:pPr>
              <w:widowControl/>
              <w:jc w:val="left"/>
              <w:rPr>
                <w:rFonts w:hint="eastAsia" w:ascii="宋体" w:hAnsi="宋体" w:cs="宋体"/>
                <w:kern w:val="0"/>
                <w:sz w:val="20"/>
                <w:szCs w:val="20"/>
              </w:rPr>
            </w:pPr>
          </w:p>
        </w:tc>
        <w:tc>
          <w:tcPr>
            <w:tcW w:w="748" w:type="pct"/>
            <w:shd w:val="clear" w:color="auto" w:fill="auto"/>
            <w:noWrap/>
            <w:vAlign w:val="center"/>
          </w:tcPr>
          <w:p w14:paraId="59B8341C">
            <w:pPr>
              <w:widowControl/>
              <w:jc w:val="left"/>
              <w:rPr>
                <w:rFonts w:hint="eastAsia" w:ascii="宋体" w:hAnsi="宋体" w:cs="宋体"/>
                <w:kern w:val="0"/>
                <w:sz w:val="20"/>
                <w:szCs w:val="20"/>
              </w:rPr>
            </w:pPr>
            <w:r>
              <w:rPr>
                <w:rFonts w:hint="eastAsia" w:ascii="宋体" w:hAnsi="宋体" w:cs="宋体"/>
                <w:kern w:val="0"/>
                <w:sz w:val="20"/>
                <w:szCs w:val="20"/>
              </w:rPr>
              <w:t>退役士兵满意度</w:t>
            </w:r>
          </w:p>
        </w:tc>
        <w:tc>
          <w:tcPr>
            <w:tcW w:w="751" w:type="pct"/>
            <w:shd w:val="clear" w:color="auto" w:fill="auto"/>
            <w:noWrap/>
            <w:vAlign w:val="center"/>
          </w:tcPr>
          <w:p w14:paraId="0AB40478">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831" w:type="pct"/>
            <w:shd w:val="clear" w:color="auto" w:fill="auto"/>
            <w:noWrap/>
            <w:vAlign w:val="center"/>
          </w:tcPr>
          <w:p w14:paraId="371C3175">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4FA2226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1A0DCB04">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279" w:type="pct"/>
            <w:shd w:val="clear" w:color="auto" w:fill="auto"/>
            <w:noWrap/>
            <w:vAlign w:val="center"/>
          </w:tcPr>
          <w:p w14:paraId="1E3221E3">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1A354E4E">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479"/>
        <w:gridCol w:w="479"/>
        <w:gridCol w:w="838"/>
        <w:gridCol w:w="707"/>
        <w:gridCol w:w="1043"/>
        <w:gridCol w:w="666"/>
        <w:gridCol w:w="817"/>
        <w:gridCol w:w="720"/>
        <w:gridCol w:w="274"/>
        <w:gridCol w:w="285"/>
        <w:gridCol w:w="355"/>
        <w:gridCol w:w="436"/>
        <w:gridCol w:w="480"/>
        <w:gridCol w:w="720"/>
      </w:tblGrid>
      <w:tr w14:paraId="238D1E5B">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0C7FF2AA">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项目支出绩效自评表</w:t>
            </w:r>
          </w:p>
        </w:tc>
      </w:tr>
      <w:tr w14:paraId="57A86298">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77D23E2E">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8C55BD0">
        <w:tblPrEx>
          <w:tblCellMar>
            <w:top w:w="0" w:type="dxa"/>
            <w:left w:w="108" w:type="dxa"/>
            <w:bottom w:w="0" w:type="dxa"/>
            <w:right w:w="108" w:type="dxa"/>
          </w:tblCellMar>
        </w:tblPrEx>
        <w:trPr>
          <w:trHeight w:val="270" w:hRule="atLeast"/>
        </w:trPr>
        <w:tc>
          <w:tcPr>
            <w:tcW w:w="5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DB5308">
            <w:pPr>
              <w:widowControl/>
              <w:jc w:val="center"/>
              <w:rPr>
                <w:rFonts w:hint="eastAsia" w:ascii="宋体" w:hAnsi="宋体" w:cs="宋体"/>
                <w:kern w:val="0"/>
                <w:sz w:val="20"/>
                <w:szCs w:val="20"/>
              </w:rPr>
            </w:pPr>
            <w:r>
              <w:rPr>
                <w:rFonts w:hint="eastAsia" w:ascii="宋体" w:hAnsi="宋体" w:cs="宋体"/>
                <w:kern w:val="0"/>
                <w:sz w:val="20"/>
                <w:szCs w:val="20"/>
              </w:rPr>
              <w:t>项目名称</w:t>
            </w:r>
          </w:p>
        </w:tc>
        <w:tc>
          <w:tcPr>
            <w:tcW w:w="4421" w:type="pct"/>
            <w:gridSpan w:val="12"/>
            <w:tcBorders>
              <w:top w:val="single" w:color="auto" w:sz="4" w:space="0"/>
              <w:left w:val="nil"/>
              <w:bottom w:val="single" w:color="auto" w:sz="4" w:space="0"/>
              <w:right w:val="single" w:color="000000" w:sz="4" w:space="0"/>
            </w:tcBorders>
            <w:shd w:val="clear" w:color="auto" w:fill="auto"/>
            <w:vAlign w:val="center"/>
          </w:tcPr>
          <w:p w14:paraId="060D56BE">
            <w:pPr>
              <w:widowControl/>
              <w:jc w:val="center"/>
              <w:rPr>
                <w:rFonts w:hint="eastAsia" w:ascii="宋体" w:hAnsi="宋体" w:cs="宋体"/>
                <w:kern w:val="0"/>
                <w:sz w:val="20"/>
                <w:szCs w:val="20"/>
              </w:rPr>
            </w:pPr>
            <w:r>
              <w:rPr>
                <w:rFonts w:hint="eastAsia" w:ascii="宋体" w:hAnsi="宋体" w:cs="宋体"/>
                <w:kern w:val="0"/>
                <w:sz w:val="20"/>
                <w:szCs w:val="20"/>
              </w:rPr>
              <w:t>优抚对象补助经费预算（第二批）</w:t>
            </w:r>
          </w:p>
        </w:tc>
      </w:tr>
      <w:tr w14:paraId="2B0A53D8">
        <w:tblPrEx>
          <w:tblCellMar>
            <w:top w:w="0" w:type="dxa"/>
            <w:left w:w="108" w:type="dxa"/>
            <w:bottom w:w="0" w:type="dxa"/>
            <w:right w:w="108" w:type="dxa"/>
          </w:tblCellMar>
        </w:tblPrEx>
        <w:trPr>
          <w:trHeight w:val="270" w:hRule="atLeast"/>
        </w:trPr>
        <w:tc>
          <w:tcPr>
            <w:tcW w:w="5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601B85">
            <w:pPr>
              <w:widowControl/>
              <w:jc w:val="center"/>
              <w:rPr>
                <w:rFonts w:hint="eastAsia" w:ascii="宋体" w:hAnsi="宋体" w:cs="宋体"/>
                <w:kern w:val="0"/>
                <w:sz w:val="20"/>
                <w:szCs w:val="20"/>
              </w:rPr>
            </w:pPr>
            <w:r>
              <w:rPr>
                <w:rFonts w:hint="eastAsia" w:ascii="宋体" w:hAnsi="宋体" w:cs="宋体"/>
                <w:kern w:val="0"/>
                <w:sz w:val="20"/>
                <w:szCs w:val="20"/>
              </w:rPr>
              <w:t>主管部门</w:t>
            </w:r>
          </w:p>
        </w:tc>
        <w:tc>
          <w:tcPr>
            <w:tcW w:w="2452" w:type="pct"/>
            <w:gridSpan w:val="5"/>
            <w:tcBorders>
              <w:top w:val="single" w:color="auto" w:sz="4" w:space="0"/>
              <w:left w:val="nil"/>
              <w:bottom w:val="single" w:color="auto" w:sz="4" w:space="0"/>
              <w:right w:val="single" w:color="auto" w:sz="4" w:space="0"/>
            </w:tcBorders>
            <w:shd w:val="clear" w:color="auto" w:fill="auto"/>
            <w:vAlign w:val="center"/>
          </w:tcPr>
          <w:p w14:paraId="400C98CE">
            <w:pPr>
              <w:widowControl/>
              <w:jc w:val="center"/>
              <w:rPr>
                <w:rFonts w:hint="eastAsia" w:ascii="宋体" w:hAnsi="宋体" w:cs="宋体"/>
                <w:kern w:val="0"/>
                <w:sz w:val="20"/>
                <w:szCs w:val="20"/>
              </w:rPr>
            </w:pPr>
            <w:r>
              <w:rPr>
                <w:rFonts w:hint="eastAsia" w:ascii="宋体" w:hAnsi="宋体" w:cs="宋体"/>
                <w:kern w:val="0"/>
                <w:sz w:val="20"/>
                <w:szCs w:val="20"/>
              </w:rPr>
              <w:t>木垒哈萨克自治县退伍军人事务局</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3E4EE85C">
            <w:pPr>
              <w:widowControl/>
              <w:jc w:val="center"/>
              <w:rPr>
                <w:rFonts w:hint="eastAsia" w:ascii="宋体" w:hAnsi="宋体" w:cs="宋体"/>
                <w:kern w:val="0"/>
                <w:sz w:val="20"/>
                <w:szCs w:val="20"/>
              </w:rPr>
            </w:pPr>
            <w:r>
              <w:rPr>
                <w:rFonts w:hint="eastAsia" w:ascii="宋体" w:hAnsi="宋体" w:cs="宋体"/>
                <w:kern w:val="0"/>
                <w:sz w:val="20"/>
                <w:szCs w:val="20"/>
              </w:rPr>
              <w:t>实施单位</w:t>
            </w:r>
          </w:p>
        </w:tc>
        <w:tc>
          <w:tcPr>
            <w:tcW w:w="1371" w:type="pct"/>
            <w:gridSpan w:val="5"/>
            <w:tcBorders>
              <w:top w:val="single" w:color="auto" w:sz="4" w:space="0"/>
              <w:left w:val="nil"/>
              <w:bottom w:val="single" w:color="auto" w:sz="4" w:space="0"/>
              <w:right w:val="single" w:color="auto" w:sz="4" w:space="0"/>
            </w:tcBorders>
            <w:shd w:val="clear" w:color="auto" w:fill="auto"/>
            <w:vAlign w:val="center"/>
          </w:tcPr>
          <w:p w14:paraId="7434DCDF">
            <w:pPr>
              <w:widowControl/>
              <w:jc w:val="center"/>
              <w:rPr>
                <w:rFonts w:hint="eastAsia" w:ascii="宋体" w:hAnsi="宋体" w:cs="宋体"/>
                <w:kern w:val="0"/>
                <w:sz w:val="20"/>
                <w:szCs w:val="20"/>
              </w:rPr>
            </w:pPr>
            <w:r>
              <w:rPr>
                <w:rFonts w:hint="eastAsia" w:ascii="宋体" w:hAnsi="宋体" w:cs="宋体"/>
                <w:kern w:val="0"/>
                <w:sz w:val="20"/>
                <w:szCs w:val="20"/>
              </w:rPr>
              <w:t>木垒哈萨克自治县退伍军人事务局</w:t>
            </w:r>
          </w:p>
        </w:tc>
      </w:tr>
      <w:tr w14:paraId="23F3BCF0">
        <w:tblPrEx>
          <w:tblCellMar>
            <w:top w:w="0" w:type="dxa"/>
            <w:left w:w="108" w:type="dxa"/>
            <w:bottom w:w="0" w:type="dxa"/>
            <w:right w:w="108" w:type="dxa"/>
          </w:tblCellMar>
        </w:tblPrEx>
        <w:trPr>
          <w:trHeight w:val="480" w:hRule="atLeast"/>
        </w:trPr>
        <w:tc>
          <w:tcPr>
            <w:tcW w:w="5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F509F">
            <w:pPr>
              <w:widowControl/>
              <w:jc w:val="center"/>
              <w:rPr>
                <w:rFonts w:hint="eastAsia"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931" w:type="pct"/>
            <w:gridSpan w:val="2"/>
            <w:tcBorders>
              <w:top w:val="single" w:color="auto" w:sz="4" w:space="0"/>
              <w:left w:val="nil"/>
              <w:bottom w:val="single" w:color="auto" w:sz="4" w:space="0"/>
              <w:right w:val="single" w:color="auto" w:sz="4" w:space="0"/>
            </w:tcBorders>
            <w:shd w:val="clear" w:color="auto" w:fill="auto"/>
            <w:vAlign w:val="center"/>
          </w:tcPr>
          <w:p w14:paraId="0604C4B9">
            <w:pPr>
              <w:widowControl/>
              <w:jc w:val="center"/>
              <w:rPr>
                <w:rFonts w:hint="eastAsia" w:ascii="宋体" w:hAnsi="宋体" w:cs="宋体"/>
                <w:kern w:val="0"/>
                <w:sz w:val="20"/>
                <w:szCs w:val="20"/>
              </w:rPr>
            </w:pPr>
          </w:p>
        </w:tc>
        <w:tc>
          <w:tcPr>
            <w:tcW w:w="628" w:type="pct"/>
            <w:tcBorders>
              <w:top w:val="nil"/>
              <w:left w:val="nil"/>
              <w:bottom w:val="single" w:color="auto" w:sz="4" w:space="0"/>
              <w:right w:val="single" w:color="auto" w:sz="4" w:space="0"/>
            </w:tcBorders>
            <w:shd w:val="clear" w:color="auto" w:fill="auto"/>
            <w:vAlign w:val="center"/>
          </w:tcPr>
          <w:p w14:paraId="7FFBA254">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892" w:type="pct"/>
            <w:gridSpan w:val="2"/>
            <w:tcBorders>
              <w:top w:val="single" w:color="auto" w:sz="4" w:space="0"/>
              <w:left w:val="nil"/>
              <w:bottom w:val="single" w:color="auto" w:sz="4" w:space="0"/>
              <w:right w:val="single" w:color="auto" w:sz="4" w:space="0"/>
            </w:tcBorders>
            <w:shd w:val="clear" w:color="auto" w:fill="auto"/>
            <w:vAlign w:val="center"/>
          </w:tcPr>
          <w:p w14:paraId="738F6866">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FA502DF">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386" w:type="pct"/>
            <w:gridSpan w:val="2"/>
            <w:tcBorders>
              <w:top w:val="single" w:color="auto" w:sz="4" w:space="0"/>
              <w:left w:val="nil"/>
              <w:bottom w:val="single" w:color="auto" w:sz="4" w:space="0"/>
              <w:right w:val="single" w:color="auto" w:sz="4" w:space="0"/>
            </w:tcBorders>
            <w:shd w:val="clear" w:color="auto" w:fill="auto"/>
            <w:vAlign w:val="center"/>
          </w:tcPr>
          <w:p w14:paraId="586BFB8D">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19E488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05264D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C6D371">
        <w:tblPrEx>
          <w:tblCellMar>
            <w:top w:w="0" w:type="dxa"/>
            <w:left w:w="108" w:type="dxa"/>
            <w:bottom w:w="0" w:type="dxa"/>
            <w:right w:w="108" w:type="dxa"/>
          </w:tblCellMar>
        </w:tblPrEx>
        <w:trPr>
          <w:trHeight w:val="439"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58A41070">
            <w:pPr>
              <w:widowControl/>
              <w:jc w:val="left"/>
              <w:rPr>
                <w:rFonts w:hint="eastAsia" w:ascii="宋体" w:hAnsi="宋体" w:cs="宋体"/>
                <w:kern w:val="0"/>
                <w:sz w:val="20"/>
                <w:szCs w:val="20"/>
              </w:rPr>
            </w:pPr>
          </w:p>
        </w:tc>
        <w:tc>
          <w:tcPr>
            <w:tcW w:w="931" w:type="pct"/>
            <w:gridSpan w:val="2"/>
            <w:tcBorders>
              <w:top w:val="single" w:color="auto" w:sz="4" w:space="0"/>
              <w:left w:val="nil"/>
              <w:bottom w:val="single" w:color="auto" w:sz="4" w:space="0"/>
              <w:right w:val="single" w:color="auto" w:sz="4" w:space="0"/>
            </w:tcBorders>
            <w:shd w:val="clear" w:color="auto" w:fill="auto"/>
            <w:vAlign w:val="center"/>
          </w:tcPr>
          <w:p w14:paraId="29177CF1">
            <w:pPr>
              <w:widowControl/>
              <w:jc w:val="center"/>
              <w:rPr>
                <w:rFonts w:hint="eastAsia" w:ascii="宋体" w:hAnsi="宋体" w:cs="宋体"/>
                <w:kern w:val="0"/>
                <w:sz w:val="20"/>
                <w:szCs w:val="20"/>
              </w:rPr>
            </w:pPr>
            <w:r>
              <w:rPr>
                <w:rFonts w:hint="eastAsia" w:ascii="宋体" w:hAnsi="宋体" w:cs="宋体"/>
                <w:kern w:val="0"/>
                <w:sz w:val="20"/>
                <w:szCs w:val="20"/>
              </w:rPr>
              <w:t>年度资金总额</w:t>
            </w:r>
          </w:p>
        </w:tc>
        <w:tc>
          <w:tcPr>
            <w:tcW w:w="628" w:type="pct"/>
            <w:tcBorders>
              <w:top w:val="nil"/>
              <w:left w:val="nil"/>
              <w:bottom w:val="single" w:color="auto" w:sz="4" w:space="0"/>
              <w:right w:val="single" w:color="auto" w:sz="4" w:space="0"/>
            </w:tcBorders>
            <w:shd w:val="clear" w:color="auto" w:fill="auto"/>
            <w:vAlign w:val="center"/>
          </w:tcPr>
          <w:p w14:paraId="052104B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215.00</w:t>
            </w:r>
          </w:p>
        </w:tc>
        <w:tc>
          <w:tcPr>
            <w:tcW w:w="892" w:type="pct"/>
            <w:gridSpan w:val="2"/>
            <w:tcBorders>
              <w:top w:val="single" w:color="auto" w:sz="4" w:space="0"/>
              <w:left w:val="nil"/>
              <w:bottom w:val="single" w:color="auto" w:sz="4" w:space="0"/>
              <w:right w:val="single" w:color="auto" w:sz="4" w:space="0"/>
            </w:tcBorders>
            <w:shd w:val="clear" w:color="auto" w:fill="auto"/>
            <w:vAlign w:val="center"/>
          </w:tcPr>
          <w:p w14:paraId="5EBFA2A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8D07C6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386" w:type="pct"/>
            <w:gridSpan w:val="2"/>
            <w:tcBorders>
              <w:top w:val="single" w:color="auto" w:sz="4" w:space="0"/>
              <w:left w:val="nil"/>
              <w:bottom w:val="single" w:color="auto" w:sz="4" w:space="0"/>
              <w:right w:val="single" w:color="auto" w:sz="4" w:space="0"/>
            </w:tcBorders>
            <w:shd w:val="clear" w:color="auto" w:fill="auto"/>
            <w:vAlign w:val="center"/>
          </w:tcPr>
          <w:p w14:paraId="7142103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E747422">
            <w:pPr>
              <w:widowControl/>
              <w:jc w:val="center"/>
              <w:rPr>
                <w:rFonts w:hint="eastAsia" w:ascii="宋体" w:hAnsi="宋体" w:cs="宋体"/>
                <w:kern w:val="0"/>
                <w:sz w:val="20"/>
                <w:szCs w:val="20"/>
              </w:rPr>
            </w:pPr>
            <w:r>
              <w:rPr>
                <w:rFonts w:hint="eastAsia" w:ascii="宋体" w:hAnsi="宋体" w:cs="宋体"/>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497FCB8">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1950C8AA">
        <w:tblPrEx>
          <w:tblCellMar>
            <w:top w:w="0" w:type="dxa"/>
            <w:left w:w="108" w:type="dxa"/>
            <w:bottom w:w="0" w:type="dxa"/>
            <w:right w:w="108" w:type="dxa"/>
          </w:tblCellMar>
        </w:tblPrEx>
        <w:trPr>
          <w:trHeight w:val="439"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67AA8385">
            <w:pPr>
              <w:widowControl/>
              <w:jc w:val="left"/>
              <w:rPr>
                <w:rFonts w:hint="eastAsia" w:ascii="宋体" w:hAnsi="宋体" w:cs="宋体"/>
                <w:kern w:val="0"/>
                <w:sz w:val="20"/>
                <w:szCs w:val="20"/>
              </w:rPr>
            </w:pPr>
          </w:p>
        </w:tc>
        <w:tc>
          <w:tcPr>
            <w:tcW w:w="931" w:type="pct"/>
            <w:gridSpan w:val="2"/>
            <w:tcBorders>
              <w:top w:val="single" w:color="auto" w:sz="4" w:space="0"/>
              <w:left w:val="nil"/>
              <w:bottom w:val="single" w:color="auto" w:sz="4" w:space="0"/>
              <w:right w:val="single" w:color="auto" w:sz="4" w:space="0"/>
            </w:tcBorders>
            <w:shd w:val="clear" w:color="auto" w:fill="auto"/>
            <w:vAlign w:val="center"/>
          </w:tcPr>
          <w:p w14:paraId="13846DB2">
            <w:pPr>
              <w:widowControl/>
              <w:jc w:val="center"/>
              <w:rPr>
                <w:rFonts w:hint="eastAsia" w:ascii="宋体" w:hAnsi="宋体" w:cs="宋体"/>
                <w:kern w:val="0"/>
                <w:sz w:val="20"/>
                <w:szCs w:val="20"/>
              </w:rPr>
            </w:pPr>
            <w:r>
              <w:rPr>
                <w:rFonts w:hint="eastAsia" w:ascii="宋体" w:hAnsi="宋体" w:cs="宋体"/>
                <w:kern w:val="0"/>
                <w:sz w:val="20"/>
                <w:szCs w:val="20"/>
              </w:rPr>
              <w:t>其中：当年财政拨款</w:t>
            </w:r>
          </w:p>
        </w:tc>
        <w:tc>
          <w:tcPr>
            <w:tcW w:w="628" w:type="pct"/>
            <w:tcBorders>
              <w:top w:val="nil"/>
              <w:left w:val="nil"/>
              <w:bottom w:val="single" w:color="auto" w:sz="4" w:space="0"/>
              <w:right w:val="single" w:color="auto" w:sz="4" w:space="0"/>
            </w:tcBorders>
            <w:shd w:val="clear" w:color="auto" w:fill="auto"/>
            <w:vAlign w:val="center"/>
          </w:tcPr>
          <w:p w14:paraId="5A70FA1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215.00</w:t>
            </w:r>
          </w:p>
        </w:tc>
        <w:tc>
          <w:tcPr>
            <w:tcW w:w="892" w:type="pct"/>
            <w:gridSpan w:val="2"/>
            <w:tcBorders>
              <w:top w:val="single" w:color="auto" w:sz="4" w:space="0"/>
              <w:left w:val="nil"/>
              <w:bottom w:val="single" w:color="auto" w:sz="4" w:space="0"/>
              <w:right w:val="single" w:color="auto" w:sz="4" w:space="0"/>
            </w:tcBorders>
            <w:shd w:val="clear" w:color="auto" w:fill="auto"/>
            <w:vAlign w:val="center"/>
          </w:tcPr>
          <w:p w14:paraId="3B380A1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FE71EB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386" w:type="pct"/>
            <w:gridSpan w:val="2"/>
            <w:tcBorders>
              <w:top w:val="single" w:color="auto" w:sz="4" w:space="0"/>
              <w:left w:val="nil"/>
              <w:bottom w:val="single" w:color="auto" w:sz="4" w:space="0"/>
              <w:right w:val="single" w:color="auto" w:sz="4" w:space="0"/>
            </w:tcBorders>
            <w:shd w:val="clear" w:color="auto" w:fill="auto"/>
            <w:vAlign w:val="center"/>
          </w:tcPr>
          <w:p w14:paraId="10924BF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77820F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69550F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9266D65">
        <w:tblPrEx>
          <w:tblCellMar>
            <w:top w:w="0" w:type="dxa"/>
            <w:left w:w="108" w:type="dxa"/>
            <w:bottom w:w="0" w:type="dxa"/>
            <w:right w:w="108" w:type="dxa"/>
          </w:tblCellMar>
        </w:tblPrEx>
        <w:trPr>
          <w:trHeight w:val="439"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4B663FE1">
            <w:pPr>
              <w:widowControl/>
              <w:jc w:val="left"/>
              <w:rPr>
                <w:rFonts w:hint="eastAsia" w:ascii="宋体" w:hAnsi="宋体" w:cs="宋体"/>
                <w:kern w:val="0"/>
                <w:sz w:val="20"/>
                <w:szCs w:val="20"/>
              </w:rPr>
            </w:pPr>
          </w:p>
        </w:tc>
        <w:tc>
          <w:tcPr>
            <w:tcW w:w="931" w:type="pct"/>
            <w:gridSpan w:val="2"/>
            <w:tcBorders>
              <w:top w:val="single" w:color="auto" w:sz="4" w:space="0"/>
              <w:left w:val="nil"/>
              <w:bottom w:val="single" w:color="auto" w:sz="4" w:space="0"/>
              <w:right w:val="single" w:color="auto" w:sz="4" w:space="0"/>
            </w:tcBorders>
            <w:shd w:val="clear" w:color="auto" w:fill="auto"/>
            <w:vAlign w:val="center"/>
          </w:tcPr>
          <w:p w14:paraId="2CAD8284">
            <w:pPr>
              <w:widowControl/>
              <w:jc w:val="center"/>
              <w:rPr>
                <w:rFonts w:hint="eastAsia" w:ascii="宋体" w:hAnsi="宋体" w:cs="宋体"/>
                <w:kern w:val="0"/>
                <w:sz w:val="20"/>
                <w:szCs w:val="20"/>
              </w:rPr>
            </w:pPr>
            <w:r>
              <w:rPr>
                <w:rFonts w:hint="eastAsia" w:ascii="宋体" w:hAnsi="宋体" w:cs="宋体"/>
                <w:kern w:val="0"/>
                <w:sz w:val="20"/>
                <w:szCs w:val="20"/>
              </w:rPr>
              <w:t xml:space="preserve">  其他资金</w:t>
            </w:r>
          </w:p>
        </w:tc>
        <w:tc>
          <w:tcPr>
            <w:tcW w:w="628" w:type="pct"/>
            <w:tcBorders>
              <w:top w:val="nil"/>
              <w:left w:val="nil"/>
              <w:bottom w:val="single" w:color="auto" w:sz="4" w:space="0"/>
              <w:right w:val="single" w:color="auto" w:sz="4" w:space="0"/>
            </w:tcBorders>
            <w:shd w:val="clear" w:color="auto" w:fill="auto"/>
            <w:vAlign w:val="center"/>
          </w:tcPr>
          <w:p w14:paraId="1774CB6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92" w:type="pct"/>
            <w:gridSpan w:val="2"/>
            <w:tcBorders>
              <w:top w:val="single" w:color="auto" w:sz="4" w:space="0"/>
              <w:left w:val="nil"/>
              <w:bottom w:val="single" w:color="auto" w:sz="4" w:space="0"/>
              <w:right w:val="single" w:color="auto" w:sz="4" w:space="0"/>
            </w:tcBorders>
            <w:shd w:val="clear" w:color="auto" w:fill="auto"/>
            <w:vAlign w:val="center"/>
          </w:tcPr>
          <w:p w14:paraId="76AB48B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412683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386" w:type="pct"/>
            <w:gridSpan w:val="2"/>
            <w:tcBorders>
              <w:top w:val="single" w:color="auto" w:sz="4" w:space="0"/>
              <w:left w:val="nil"/>
              <w:bottom w:val="single" w:color="auto" w:sz="4" w:space="0"/>
              <w:right w:val="single" w:color="auto" w:sz="4" w:space="0"/>
            </w:tcBorders>
            <w:shd w:val="clear" w:color="auto" w:fill="auto"/>
            <w:vAlign w:val="center"/>
          </w:tcPr>
          <w:p w14:paraId="7134824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677EE5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2001B5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3B9DD6A">
        <w:tblPrEx>
          <w:tblCellMar>
            <w:top w:w="0" w:type="dxa"/>
            <w:left w:w="108" w:type="dxa"/>
            <w:bottom w:w="0" w:type="dxa"/>
            <w:right w:w="108" w:type="dxa"/>
          </w:tblCellMar>
        </w:tblPrEx>
        <w:trPr>
          <w:trHeight w:val="270"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23F6E6A">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741" w:type="pct"/>
            <w:gridSpan w:val="6"/>
            <w:tcBorders>
              <w:top w:val="single" w:color="auto" w:sz="4" w:space="0"/>
              <w:left w:val="nil"/>
              <w:bottom w:val="single" w:color="auto" w:sz="4" w:space="0"/>
              <w:right w:val="single" w:color="auto" w:sz="4" w:space="0"/>
            </w:tcBorders>
            <w:shd w:val="clear" w:color="auto" w:fill="auto"/>
            <w:vAlign w:val="center"/>
          </w:tcPr>
          <w:p w14:paraId="067BD797">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969" w:type="pct"/>
            <w:gridSpan w:val="7"/>
            <w:tcBorders>
              <w:top w:val="single" w:color="auto" w:sz="4" w:space="0"/>
              <w:left w:val="nil"/>
              <w:bottom w:val="single" w:color="auto" w:sz="4" w:space="0"/>
              <w:right w:val="single" w:color="auto" w:sz="4" w:space="0"/>
            </w:tcBorders>
            <w:shd w:val="clear" w:color="auto" w:fill="auto"/>
            <w:vAlign w:val="center"/>
          </w:tcPr>
          <w:p w14:paraId="580A71BA">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5655CFB3">
        <w:tblPrEx>
          <w:tblCellMar>
            <w:top w:w="0" w:type="dxa"/>
            <w:left w:w="108" w:type="dxa"/>
            <w:bottom w:w="0" w:type="dxa"/>
            <w:right w:w="108" w:type="dxa"/>
          </w:tblCellMar>
        </w:tblPrEx>
        <w:trPr>
          <w:trHeight w:val="540" w:hRule="atLeast"/>
        </w:trPr>
        <w:tc>
          <w:tcPr>
            <w:tcW w:w="289" w:type="pct"/>
            <w:vMerge w:val="continue"/>
            <w:tcBorders>
              <w:top w:val="nil"/>
              <w:left w:val="single" w:color="auto" w:sz="4" w:space="0"/>
              <w:bottom w:val="single" w:color="auto" w:sz="4" w:space="0"/>
              <w:right w:val="single" w:color="auto" w:sz="4" w:space="0"/>
            </w:tcBorders>
            <w:vAlign w:val="center"/>
          </w:tcPr>
          <w:p w14:paraId="2C6FF41D">
            <w:pPr>
              <w:widowControl/>
              <w:jc w:val="left"/>
              <w:rPr>
                <w:rFonts w:hint="eastAsia" w:ascii="宋体" w:hAnsi="宋体" w:cs="宋体"/>
                <w:kern w:val="0"/>
                <w:sz w:val="20"/>
                <w:szCs w:val="20"/>
              </w:rPr>
            </w:pPr>
          </w:p>
        </w:tc>
        <w:tc>
          <w:tcPr>
            <w:tcW w:w="2741" w:type="pct"/>
            <w:gridSpan w:val="6"/>
            <w:tcBorders>
              <w:top w:val="single" w:color="auto" w:sz="4" w:space="0"/>
              <w:left w:val="nil"/>
              <w:bottom w:val="single" w:color="auto" w:sz="4" w:space="0"/>
              <w:right w:val="single" w:color="000000" w:sz="4" w:space="0"/>
            </w:tcBorders>
            <w:shd w:val="clear" w:color="auto" w:fill="auto"/>
          </w:tcPr>
          <w:p w14:paraId="5DF4D6BF">
            <w:pPr>
              <w:widowControl/>
              <w:jc w:val="left"/>
              <w:rPr>
                <w:rFonts w:hint="eastAsia" w:ascii="宋体" w:hAnsi="宋体" w:cs="宋体"/>
                <w:kern w:val="0"/>
                <w:sz w:val="20"/>
                <w:szCs w:val="20"/>
              </w:rPr>
            </w:pPr>
            <w:r>
              <w:rPr>
                <w:rFonts w:hint="eastAsia" w:ascii="宋体" w:hAnsi="宋体" w:cs="宋体"/>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1969" w:type="pct"/>
            <w:gridSpan w:val="7"/>
            <w:tcBorders>
              <w:top w:val="single" w:color="auto" w:sz="4" w:space="0"/>
              <w:left w:val="nil"/>
              <w:bottom w:val="single" w:color="auto" w:sz="4" w:space="0"/>
              <w:right w:val="single" w:color="000000" w:sz="4" w:space="0"/>
            </w:tcBorders>
            <w:shd w:val="clear" w:color="auto" w:fill="auto"/>
          </w:tcPr>
          <w:p w14:paraId="14DF51E7">
            <w:pPr>
              <w:widowControl/>
              <w:jc w:val="left"/>
              <w:rPr>
                <w:rFonts w:hint="eastAsia" w:ascii="宋体" w:hAnsi="宋体" w:cs="宋体"/>
                <w:kern w:val="0"/>
                <w:sz w:val="20"/>
                <w:szCs w:val="20"/>
              </w:rPr>
            </w:pPr>
            <w:r>
              <w:rPr>
                <w:rFonts w:hint="eastAsia" w:ascii="宋体" w:hAnsi="宋体" w:cs="宋体"/>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14:paraId="42EA68D5">
        <w:tblPrEx>
          <w:tblCellMar>
            <w:top w:w="0" w:type="dxa"/>
            <w:left w:w="108" w:type="dxa"/>
            <w:bottom w:w="0" w:type="dxa"/>
            <w:right w:w="108" w:type="dxa"/>
          </w:tblCellMar>
        </w:tblPrEx>
        <w:trPr>
          <w:trHeight w:val="312"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50DFC7D">
            <w:pPr>
              <w:widowControl/>
              <w:jc w:val="center"/>
              <w:rPr>
                <w:rFonts w:hint="eastAsia" w:ascii="宋体" w:hAnsi="宋体" w:cs="宋体"/>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49C27EA">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505" w:type="pct"/>
            <w:vMerge w:val="restart"/>
            <w:tcBorders>
              <w:top w:val="nil"/>
              <w:left w:val="single" w:color="auto" w:sz="4" w:space="0"/>
              <w:bottom w:val="single" w:color="auto" w:sz="4" w:space="0"/>
              <w:right w:val="single" w:color="auto" w:sz="4" w:space="0"/>
            </w:tcBorders>
            <w:shd w:val="clear" w:color="auto" w:fill="auto"/>
            <w:vAlign w:val="center"/>
          </w:tcPr>
          <w:p w14:paraId="25B43A6A">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5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1B879">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247EA3C5">
            <w:pPr>
              <w:widowControl/>
              <w:jc w:val="center"/>
              <w:rPr>
                <w:rFonts w:hint="eastAsia" w:ascii="宋体" w:hAnsi="宋体" w:cs="宋体"/>
                <w:kern w:val="0"/>
                <w:sz w:val="20"/>
                <w:szCs w:val="20"/>
              </w:rPr>
            </w:pPr>
            <w:r>
              <w:rPr>
                <w:rFonts w:hint="eastAsia" w:ascii="宋体" w:hAnsi="宋体" w:cs="宋体"/>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295D7DAE">
            <w:pPr>
              <w:widowControl/>
              <w:jc w:val="center"/>
              <w:rPr>
                <w:rFonts w:hint="eastAsia" w:ascii="宋体" w:hAnsi="宋体" w:cs="宋体"/>
                <w:kern w:val="0"/>
                <w:sz w:val="20"/>
                <w:szCs w:val="20"/>
              </w:rPr>
            </w:pPr>
            <w:r>
              <w:rPr>
                <w:rFonts w:hint="eastAsia" w:ascii="宋体" w:hAnsi="宋体" w:cs="宋体"/>
                <w:kern w:val="0"/>
                <w:sz w:val="20"/>
                <w:szCs w:val="20"/>
              </w:rPr>
              <w:t>实际完成值</w:t>
            </w:r>
          </w:p>
        </w:tc>
        <w:tc>
          <w:tcPr>
            <w:tcW w:w="3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AB5022">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4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DEC9E">
            <w:pPr>
              <w:widowControl/>
              <w:jc w:val="center"/>
              <w:rPr>
                <w:rFonts w:hint="eastAsia" w:ascii="宋体" w:hAnsi="宋体" w:cs="宋体"/>
                <w:kern w:val="0"/>
                <w:sz w:val="20"/>
                <w:szCs w:val="20"/>
              </w:rPr>
            </w:pPr>
            <w:r>
              <w:rPr>
                <w:rFonts w:hint="eastAsia" w:ascii="宋体" w:hAnsi="宋体" w:cs="宋体"/>
                <w:kern w:val="0"/>
                <w:sz w:val="20"/>
                <w:szCs w:val="20"/>
              </w:rPr>
              <w:t>得分</w:t>
            </w:r>
          </w:p>
        </w:tc>
        <w:tc>
          <w:tcPr>
            <w:tcW w:w="7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B08B8">
            <w:pPr>
              <w:widowControl/>
              <w:jc w:val="center"/>
              <w:rPr>
                <w:rFonts w:hint="eastAsia" w:ascii="宋体" w:hAnsi="宋体" w:cs="宋体"/>
                <w:kern w:val="0"/>
                <w:sz w:val="20"/>
                <w:szCs w:val="20"/>
              </w:rPr>
            </w:pPr>
            <w:r>
              <w:rPr>
                <w:rFonts w:hint="eastAsia" w:ascii="宋体" w:hAnsi="宋体" w:cs="宋体"/>
                <w:kern w:val="0"/>
                <w:sz w:val="20"/>
                <w:szCs w:val="20"/>
              </w:rPr>
              <w:t>偏差原因分析及改进措施</w:t>
            </w:r>
          </w:p>
        </w:tc>
      </w:tr>
      <w:tr w14:paraId="2E97C4AF">
        <w:tblPrEx>
          <w:tblCellMar>
            <w:top w:w="0" w:type="dxa"/>
            <w:left w:w="108" w:type="dxa"/>
            <w:bottom w:w="0" w:type="dxa"/>
            <w:right w:w="108" w:type="dxa"/>
          </w:tblCellMar>
        </w:tblPrEx>
        <w:trPr>
          <w:trHeight w:val="312" w:hRule="atLeast"/>
        </w:trPr>
        <w:tc>
          <w:tcPr>
            <w:tcW w:w="289" w:type="pct"/>
            <w:vMerge w:val="continue"/>
            <w:tcBorders>
              <w:top w:val="nil"/>
              <w:left w:val="single" w:color="auto" w:sz="4" w:space="0"/>
              <w:bottom w:val="single" w:color="auto" w:sz="4" w:space="0"/>
              <w:right w:val="single" w:color="auto" w:sz="4" w:space="0"/>
            </w:tcBorders>
            <w:vAlign w:val="center"/>
          </w:tcPr>
          <w:p w14:paraId="35C492FD">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5147C50F">
            <w:pPr>
              <w:widowControl/>
              <w:jc w:val="left"/>
              <w:rPr>
                <w:rFonts w:hint="eastAsia" w:ascii="宋体" w:hAnsi="宋体" w:cs="宋体"/>
                <w:kern w:val="0"/>
                <w:sz w:val="20"/>
                <w:szCs w:val="20"/>
              </w:rPr>
            </w:pPr>
          </w:p>
        </w:tc>
        <w:tc>
          <w:tcPr>
            <w:tcW w:w="505" w:type="pct"/>
            <w:vMerge w:val="continue"/>
            <w:tcBorders>
              <w:top w:val="nil"/>
              <w:left w:val="single" w:color="auto" w:sz="4" w:space="0"/>
              <w:bottom w:val="single" w:color="auto" w:sz="4" w:space="0"/>
              <w:right w:val="single" w:color="auto" w:sz="4" w:space="0"/>
            </w:tcBorders>
            <w:vAlign w:val="center"/>
          </w:tcPr>
          <w:p w14:paraId="495F9F6C">
            <w:pPr>
              <w:widowControl/>
              <w:jc w:val="left"/>
              <w:rPr>
                <w:rFonts w:hint="eastAsia" w:ascii="宋体" w:hAnsi="宋体" w:cs="宋体"/>
                <w:kern w:val="0"/>
                <w:sz w:val="20"/>
                <w:szCs w:val="20"/>
              </w:rPr>
            </w:pPr>
          </w:p>
        </w:tc>
        <w:tc>
          <w:tcPr>
            <w:tcW w:w="1455" w:type="pct"/>
            <w:gridSpan w:val="3"/>
            <w:vMerge w:val="continue"/>
            <w:tcBorders>
              <w:top w:val="single" w:color="auto" w:sz="4" w:space="0"/>
              <w:left w:val="single" w:color="auto" w:sz="4" w:space="0"/>
              <w:bottom w:val="single" w:color="auto" w:sz="4" w:space="0"/>
              <w:right w:val="single" w:color="auto" w:sz="4" w:space="0"/>
            </w:tcBorders>
            <w:vAlign w:val="center"/>
          </w:tcPr>
          <w:p w14:paraId="7473DD4E">
            <w:pPr>
              <w:widowControl/>
              <w:jc w:val="left"/>
              <w:rPr>
                <w:rFonts w:hint="eastAsia" w:ascii="宋体" w:hAnsi="宋体" w:cs="宋体"/>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1BFDE8D5">
            <w:pPr>
              <w:widowControl/>
              <w:jc w:val="left"/>
              <w:rPr>
                <w:rFonts w:hint="eastAsia" w:ascii="宋体" w:hAnsi="宋体" w:cs="宋体"/>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76D9F1A4">
            <w:pPr>
              <w:widowControl/>
              <w:jc w:val="left"/>
              <w:rPr>
                <w:rFonts w:hint="eastAsia" w:ascii="宋体" w:hAnsi="宋体" w:cs="宋体"/>
                <w:kern w:val="0"/>
                <w:sz w:val="20"/>
                <w:szCs w:val="20"/>
              </w:rPr>
            </w:pPr>
          </w:p>
        </w:tc>
        <w:tc>
          <w:tcPr>
            <w:tcW w:w="337" w:type="pct"/>
            <w:gridSpan w:val="2"/>
            <w:vMerge w:val="continue"/>
            <w:tcBorders>
              <w:top w:val="single" w:color="auto" w:sz="4" w:space="0"/>
              <w:left w:val="single" w:color="auto" w:sz="4" w:space="0"/>
              <w:bottom w:val="single" w:color="auto" w:sz="4" w:space="0"/>
              <w:right w:val="single" w:color="auto" w:sz="4" w:space="0"/>
            </w:tcBorders>
            <w:vAlign w:val="center"/>
          </w:tcPr>
          <w:p w14:paraId="22181E9C">
            <w:pPr>
              <w:widowControl/>
              <w:jc w:val="left"/>
              <w:rPr>
                <w:rFonts w:hint="eastAsia" w:ascii="宋体" w:hAnsi="宋体" w:cs="宋体"/>
                <w:kern w:val="0"/>
                <w:sz w:val="20"/>
                <w:szCs w:val="20"/>
              </w:rPr>
            </w:pPr>
          </w:p>
        </w:tc>
        <w:tc>
          <w:tcPr>
            <w:tcW w:w="476" w:type="pct"/>
            <w:gridSpan w:val="2"/>
            <w:vMerge w:val="continue"/>
            <w:tcBorders>
              <w:top w:val="single" w:color="auto" w:sz="4" w:space="0"/>
              <w:left w:val="single" w:color="auto" w:sz="4" w:space="0"/>
              <w:bottom w:val="single" w:color="auto" w:sz="4" w:space="0"/>
              <w:right w:val="single" w:color="auto" w:sz="4" w:space="0"/>
            </w:tcBorders>
            <w:vAlign w:val="center"/>
          </w:tcPr>
          <w:p w14:paraId="125B0E3B">
            <w:pPr>
              <w:widowControl/>
              <w:jc w:val="left"/>
              <w:rPr>
                <w:rFonts w:hint="eastAsia" w:ascii="宋体" w:hAnsi="宋体" w:cs="宋体"/>
                <w:kern w:val="0"/>
                <w:sz w:val="20"/>
                <w:szCs w:val="20"/>
              </w:rPr>
            </w:pPr>
          </w:p>
        </w:tc>
        <w:tc>
          <w:tcPr>
            <w:tcW w:w="722" w:type="pct"/>
            <w:gridSpan w:val="2"/>
            <w:vMerge w:val="continue"/>
            <w:tcBorders>
              <w:top w:val="single" w:color="auto" w:sz="4" w:space="0"/>
              <w:left w:val="single" w:color="auto" w:sz="4" w:space="0"/>
              <w:bottom w:val="single" w:color="auto" w:sz="4" w:space="0"/>
              <w:right w:val="single" w:color="auto" w:sz="4" w:space="0"/>
            </w:tcBorders>
            <w:vAlign w:val="center"/>
          </w:tcPr>
          <w:p w14:paraId="4A3DB2D1">
            <w:pPr>
              <w:widowControl/>
              <w:jc w:val="left"/>
              <w:rPr>
                <w:rFonts w:hint="eastAsia" w:ascii="宋体" w:hAnsi="宋体" w:cs="宋体"/>
                <w:kern w:val="0"/>
                <w:sz w:val="20"/>
                <w:szCs w:val="20"/>
              </w:rPr>
            </w:pPr>
          </w:p>
        </w:tc>
      </w:tr>
      <w:tr w14:paraId="2278DA6B">
        <w:tblPrEx>
          <w:tblCellMar>
            <w:top w:w="0" w:type="dxa"/>
            <w:left w:w="108" w:type="dxa"/>
            <w:bottom w:w="0" w:type="dxa"/>
            <w:right w:w="108" w:type="dxa"/>
          </w:tblCellMar>
        </w:tblPrEx>
        <w:trPr>
          <w:trHeight w:val="402"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F61489E">
            <w:pPr>
              <w:widowControl/>
              <w:jc w:val="center"/>
              <w:rPr>
                <w:rFonts w:hint="eastAsia" w:ascii="宋体" w:hAnsi="宋体" w:cs="宋体"/>
                <w:kern w:val="0"/>
                <w:sz w:val="20"/>
                <w:szCs w:val="20"/>
              </w:rPr>
            </w:pPr>
            <w:r>
              <w:rPr>
                <w:rFonts w:hint="eastAsia" w:ascii="宋体" w:hAnsi="宋体" w:cs="宋体"/>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222B7D1D">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505" w:type="pct"/>
            <w:tcBorders>
              <w:top w:val="nil"/>
              <w:left w:val="nil"/>
              <w:bottom w:val="single" w:color="auto" w:sz="4" w:space="0"/>
              <w:right w:val="single" w:color="auto" w:sz="4" w:space="0"/>
            </w:tcBorders>
            <w:shd w:val="clear" w:color="auto" w:fill="auto"/>
            <w:vAlign w:val="center"/>
          </w:tcPr>
          <w:p w14:paraId="796B7F5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2C0173EB">
            <w:pPr>
              <w:widowControl/>
              <w:jc w:val="left"/>
              <w:rPr>
                <w:rFonts w:hint="eastAsia" w:ascii="宋体" w:hAnsi="宋体" w:cs="宋体"/>
                <w:kern w:val="0"/>
                <w:sz w:val="20"/>
                <w:szCs w:val="20"/>
              </w:rPr>
            </w:pPr>
            <w:r>
              <w:rPr>
                <w:rFonts w:hint="eastAsia" w:ascii="宋体" w:hAnsi="宋体" w:cs="宋体"/>
                <w:kern w:val="0"/>
                <w:sz w:val="20"/>
                <w:szCs w:val="20"/>
              </w:rPr>
              <w:t>补助优抚对象人数</w:t>
            </w:r>
          </w:p>
        </w:tc>
        <w:tc>
          <w:tcPr>
            <w:tcW w:w="491" w:type="pct"/>
            <w:tcBorders>
              <w:top w:val="nil"/>
              <w:left w:val="nil"/>
              <w:bottom w:val="single" w:color="auto" w:sz="4" w:space="0"/>
              <w:right w:val="single" w:color="auto" w:sz="4" w:space="0"/>
            </w:tcBorders>
            <w:shd w:val="clear" w:color="auto" w:fill="auto"/>
            <w:vAlign w:val="center"/>
          </w:tcPr>
          <w:p w14:paraId="4EC8B824">
            <w:pPr>
              <w:widowControl/>
              <w:jc w:val="center"/>
              <w:rPr>
                <w:rFonts w:hint="eastAsia" w:ascii="宋体" w:hAnsi="宋体" w:cs="宋体"/>
                <w:kern w:val="0"/>
                <w:sz w:val="20"/>
                <w:szCs w:val="20"/>
              </w:rPr>
            </w:pPr>
            <w:r>
              <w:rPr>
                <w:rFonts w:hint="eastAsia" w:ascii="宋体" w:hAnsi="宋体" w:cs="宋体"/>
                <w:kern w:val="0"/>
                <w:sz w:val="20"/>
                <w:szCs w:val="20"/>
              </w:rPr>
              <w:t>&gt;=254人</w:t>
            </w:r>
          </w:p>
        </w:tc>
        <w:tc>
          <w:tcPr>
            <w:tcW w:w="432" w:type="pct"/>
            <w:tcBorders>
              <w:top w:val="nil"/>
              <w:left w:val="nil"/>
              <w:bottom w:val="single" w:color="auto" w:sz="4" w:space="0"/>
              <w:right w:val="single" w:color="auto" w:sz="4" w:space="0"/>
            </w:tcBorders>
            <w:shd w:val="clear" w:color="auto" w:fill="auto"/>
            <w:vAlign w:val="center"/>
          </w:tcPr>
          <w:p w14:paraId="054D18A5">
            <w:pPr>
              <w:widowControl/>
              <w:jc w:val="center"/>
              <w:rPr>
                <w:rFonts w:hint="eastAsia" w:ascii="宋体" w:hAnsi="宋体" w:cs="宋体"/>
                <w:kern w:val="0"/>
                <w:sz w:val="20"/>
                <w:szCs w:val="20"/>
              </w:rPr>
            </w:pPr>
            <w:r>
              <w:rPr>
                <w:rFonts w:hint="eastAsia" w:ascii="宋体" w:hAnsi="宋体" w:cs="宋体"/>
                <w:kern w:val="0"/>
                <w:sz w:val="20"/>
                <w:szCs w:val="20"/>
              </w:rPr>
              <w:t>=279人</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79B7241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01EF8DE0">
            <w:pPr>
              <w:widowControl/>
              <w:jc w:val="center"/>
              <w:rPr>
                <w:rFonts w:hint="eastAsia" w:ascii="宋体" w:hAnsi="宋体" w:cs="宋体"/>
                <w:kern w:val="0"/>
                <w:sz w:val="20"/>
                <w:szCs w:val="20"/>
              </w:rPr>
            </w:pPr>
            <w:r>
              <w:rPr>
                <w:rFonts w:hint="eastAsia" w:ascii="宋体" w:hAnsi="宋体" w:cs="宋体"/>
                <w:kern w:val="0"/>
                <w:sz w:val="20"/>
                <w:szCs w:val="20"/>
              </w:rPr>
              <w:t>9.1</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E227ADA">
            <w:pPr>
              <w:widowControl/>
              <w:jc w:val="center"/>
              <w:rPr>
                <w:rFonts w:hint="eastAsia" w:ascii="宋体" w:hAnsi="宋体" w:cs="宋体"/>
                <w:kern w:val="0"/>
                <w:sz w:val="20"/>
                <w:szCs w:val="20"/>
              </w:rPr>
            </w:pPr>
          </w:p>
        </w:tc>
      </w:tr>
      <w:tr w14:paraId="334B0C90">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115FF10C">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8AF195A">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606C49D1">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3558B2A4">
            <w:pPr>
              <w:widowControl/>
              <w:jc w:val="left"/>
              <w:rPr>
                <w:rFonts w:hint="eastAsia" w:ascii="宋体" w:hAnsi="宋体" w:cs="宋体"/>
                <w:kern w:val="0"/>
                <w:sz w:val="20"/>
                <w:szCs w:val="20"/>
              </w:rPr>
            </w:pPr>
            <w:r>
              <w:rPr>
                <w:rFonts w:hint="eastAsia" w:ascii="宋体" w:hAnsi="宋体" w:cs="宋体"/>
                <w:kern w:val="0"/>
                <w:sz w:val="20"/>
                <w:szCs w:val="20"/>
              </w:rPr>
              <w:t>优抚对象补助种类</w:t>
            </w:r>
          </w:p>
        </w:tc>
        <w:tc>
          <w:tcPr>
            <w:tcW w:w="491" w:type="pct"/>
            <w:tcBorders>
              <w:top w:val="nil"/>
              <w:left w:val="nil"/>
              <w:bottom w:val="single" w:color="auto" w:sz="4" w:space="0"/>
              <w:right w:val="single" w:color="auto" w:sz="4" w:space="0"/>
            </w:tcBorders>
            <w:shd w:val="clear" w:color="auto" w:fill="auto"/>
            <w:vAlign w:val="center"/>
          </w:tcPr>
          <w:p w14:paraId="26C9FDA5">
            <w:pPr>
              <w:widowControl/>
              <w:jc w:val="center"/>
              <w:rPr>
                <w:rFonts w:hint="eastAsia" w:ascii="宋体" w:hAnsi="宋体" w:cs="宋体"/>
                <w:kern w:val="0"/>
                <w:sz w:val="20"/>
                <w:szCs w:val="20"/>
              </w:rPr>
            </w:pPr>
            <w:r>
              <w:rPr>
                <w:rFonts w:hint="eastAsia" w:ascii="宋体" w:hAnsi="宋体" w:cs="宋体"/>
                <w:kern w:val="0"/>
                <w:sz w:val="20"/>
                <w:szCs w:val="20"/>
              </w:rPr>
              <w:t>=13类</w:t>
            </w:r>
          </w:p>
        </w:tc>
        <w:tc>
          <w:tcPr>
            <w:tcW w:w="432" w:type="pct"/>
            <w:tcBorders>
              <w:top w:val="nil"/>
              <w:left w:val="nil"/>
              <w:bottom w:val="single" w:color="auto" w:sz="4" w:space="0"/>
              <w:right w:val="single" w:color="auto" w:sz="4" w:space="0"/>
            </w:tcBorders>
            <w:shd w:val="clear" w:color="auto" w:fill="auto"/>
            <w:vAlign w:val="center"/>
          </w:tcPr>
          <w:p w14:paraId="2E146208">
            <w:pPr>
              <w:widowControl/>
              <w:jc w:val="center"/>
              <w:rPr>
                <w:rFonts w:hint="eastAsia" w:ascii="宋体" w:hAnsi="宋体" w:cs="宋体"/>
                <w:kern w:val="0"/>
                <w:sz w:val="20"/>
                <w:szCs w:val="20"/>
              </w:rPr>
            </w:pPr>
            <w:r>
              <w:rPr>
                <w:rFonts w:hint="eastAsia" w:ascii="宋体" w:hAnsi="宋体" w:cs="宋体"/>
                <w:kern w:val="0"/>
                <w:sz w:val="20"/>
                <w:szCs w:val="20"/>
              </w:rPr>
              <w:t>=13类</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5F01A47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5D1082F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D7C131E">
            <w:pPr>
              <w:widowControl/>
              <w:jc w:val="center"/>
              <w:rPr>
                <w:rFonts w:hint="eastAsia" w:ascii="宋体" w:hAnsi="宋体" w:cs="宋体"/>
                <w:kern w:val="0"/>
                <w:sz w:val="20"/>
                <w:szCs w:val="20"/>
              </w:rPr>
            </w:pPr>
          </w:p>
        </w:tc>
      </w:tr>
      <w:tr w14:paraId="4C306B0F">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612DC0B5">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346DC23">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4077F24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54962CD0">
            <w:pPr>
              <w:widowControl/>
              <w:jc w:val="left"/>
              <w:rPr>
                <w:rFonts w:hint="eastAsia" w:ascii="宋体" w:hAnsi="宋体" w:cs="宋体"/>
                <w:kern w:val="0"/>
                <w:sz w:val="20"/>
                <w:szCs w:val="20"/>
              </w:rPr>
            </w:pPr>
            <w:r>
              <w:rPr>
                <w:rFonts w:hint="eastAsia" w:ascii="宋体" w:hAnsi="宋体" w:cs="宋体"/>
                <w:kern w:val="0"/>
                <w:sz w:val="20"/>
                <w:szCs w:val="20"/>
              </w:rPr>
              <w:t>补助发放准确率</w:t>
            </w:r>
          </w:p>
        </w:tc>
        <w:tc>
          <w:tcPr>
            <w:tcW w:w="491" w:type="pct"/>
            <w:tcBorders>
              <w:top w:val="nil"/>
              <w:left w:val="nil"/>
              <w:bottom w:val="single" w:color="auto" w:sz="4" w:space="0"/>
              <w:right w:val="single" w:color="auto" w:sz="4" w:space="0"/>
            </w:tcBorders>
            <w:shd w:val="clear" w:color="auto" w:fill="auto"/>
            <w:vAlign w:val="center"/>
          </w:tcPr>
          <w:p w14:paraId="2042090C">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2061D0E7">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6397E297">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54DCAF4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13DB46D">
            <w:pPr>
              <w:widowControl/>
              <w:jc w:val="center"/>
              <w:rPr>
                <w:rFonts w:hint="eastAsia" w:ascii="宋体" w:hAnsi="宋体" w:cs="宋体"/>
                <w:kern w:val="0"/>
                <w:sz w:val="20"/>
                <w:szCs w:val="20"/>
              </w:rPr>
            </w:pPr>
          </w:p>
        </w:tc>
      </w:tr>
      <w:tr w14:paraId="4D004420">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7887FA02">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38F1D95">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746EA488">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53AAF994">
            <w:pPr>
              <w:widowControl/>
              <w:jc w:val="left"/>
              <w:rPr>
                <w:rFonts w:hint="eastAsia" w:ascii="宋体" w:hAnsi="宋体" w:cs="宋体"/>
                <w:kern w:val="0"/>
                <w:sz w:val="20"/>
                <w:szCs w:val="20"/>
              </w:rPr>
            </w:pPr>
            <w:r>
              <w:rPr>
                <w:rFonts w:hint="eastAsia" w:ascii="宋体" w:hAnsi="宋体" w:cs="宋体"/>
                <w:kern w:val="0"/>
                <w:sz w:val="20"/>
                <w:szCs w:val="20"/>
              </w:rPr>
              <w:t>补助标准执行率（%）</w:t>
            </w:r>
          </w:p>
        </w:tc>
        <w:tc>
          <w:tcPr>
            <w:tcW w:w="491" w:type="pct"/>
            <w:tcBorders>
              <w:top w:val="nil"/>
              <w:left w:val="nil"/>
              <w:bottom w:val="single" w:color="auto" w:sz="4" w:space="0"/>
              <w:right w:val="single" w:color="auto" w:sz="4" w:space="0"/>
            </w:tcBorders>
            <w:shd w:val="clear" w:color="auto" w:fill="auto"/>
            <w:vAlign w:val="center"/>
          </w:tcPr>
          <w:p w14:paraId="61358C7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5E5B7C9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76C6826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38852D9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6833C077">
            <w:pPr>
              <w:widowControl/>
              <w:jc w:val="center"/>
              <w:rPr>
                <w:rFonts w:hint="eastAsia" w:ascii="宋体" w:hAnsi="宋体" w:cs="宋体"/>
                <w:kern w:val="0"/>
                <w:sz w:val="20"/>
                <w:szCs w:val="20"/>
              </w:rPr>
            </w:pPr>
          </w:p>
        </w:tc>
      </w:tr>
      <w:tr w14:paraId="330DD123">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1E426ED2">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5A2370B">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6B26892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40683CDD">
            <w:pPr>
              <w:widowControl/>
              <w:jc w:val="left"/>
              <w:rPr>
                <w:rFonts w:hint="eastAsia" w:ascii="宋体" w:hAnsi="宋体" w:cs="宋体"/>
                <w:kern w:val="0"/>
                <w:sz w:val="20"/>
                <w:szCs w:val="20"/>
              </w:rPr>
            </w:pPr>
            <w:r>
              <w:rPr>
                <w:rFonts w:hint="eastAsia" w:ascii="宋体" w:hAnsi="宋体" w:cs="宋体"/>
                <w:kern w:val="0"/>
                <w:sz w:val="20"/>
                <w:szCs w:val="20"/>
              </w:rPr>
              <w:t>优抚对象经费发放及时率</w:t>
            </w:r>
          </w:p>
        </w:tc>
        <w:tc>
          <w:tcPr>
            <w:tcW w:w="491" w:type="pct"/>
            <w:tcBorders>
              <w:top w:val="nil"/>
              <w:left w:val="nil"/>
              <w:bottom w:val="single" w:color="auto" w:sz="4" w:space="0"/>
              <w:right w:val="single" w:color="auto" w:sz="4" w:space="0"/>
            </w:tcBorders>
            <w:shd w:val="clear" w:color="auto" w:fill="auto"/>
            <w:vAlign w:val="center"/>
          </w:tcPr>
          <w:p w14:paraId="79F3BDD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16C65C2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52CA6B5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3A847EE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806759D">
            <w:pPr>
              <w:widowControl/>
              <w:jc w:val="center"/>
              <w:rPr>
                <w:rFonts w:hint="eastAsia" w:ascii="宋体" w:hAnsi="宋体" w:cs="宋体"/>
                <w:kern w:val="0"/>
                <w:sz w:val="20"/>
                <w:szCs w:val="20"/>
              </w:rPr>
            </w:pPr>
          </w:p>
        </w:tc>
      </w:tr>
      <w:tr w14:paraId="72C2A44A">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341CEC61">
            <w:pPr>
              <w:widowControl/>
              <w:jc w:val="left"/>
              <w:rPr>
                <w:rFonts w:hint="eastAsia" w:ascii="宋体" w:hAnsi="宋体" w:cs="宋体"/>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54A515B6">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505" w:type="pct"/>
            <w:tcBorders>
              <w:top w:val="nil"/>
              <w:left w:val="nil"/>
              <w:bottom w:val="single" w:color="auto" w:sz="4" w:space="0"/>
              <w:right w:val="single" w:color="auto" w:sz="4" w:space="0"/>
            </w:tcBorders>
            <w:shd w:val="clear" w:color="auto" w:fill="auto"/>
            <w:vAlign w:val="center"/>
          </w:tcPr>
          <w:p w14:paraId="5C3EC41A">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6EF6033E">
            <w:pPr>
              <w:widowControl/>
              <w:jc w:val="left"/>
              <w:rPr>
                <w:rFonts w:hint="eastAsia" w:ascii="宋体" w:hAnsi="宋体" w:cs="宋体"/>
                <w:kern w:val="0"/>
                <w:sz w:val="20"/>
                <w:szCs w:val="20"/>
              </w:rPr>
            </w:pPr>
            <w:r>
              <w:rPr>
                <w:rFonts w:hint="eastAsia" w:ascii="宋体" w:hAnsi="宋体" w:cs="宋体"/>
                <w:kern w:val="0"/>
                <w:sz w:val="20"/>
                <w:szCs w:val="20"/>
              </w:rPr>
              <w:t>人均补助标准</w:t>
            </w:r>
          </w:p>
        </w:tc>
        <w:tc>
          <w:tcPr>
            <w:tcW w:w="491" w:type="pct"/>
            <w:tcBorders>
              <w:top w:val="nil"/>
              <w:left w:val="nil"/>
              <w:bottom w:val="single" w:color="auto" w:sz="4" w:space="0"/>
              <w:right w:val="single" w:color="auto" w:sz="4" w:space="0"/>
            </w:tcBorders>
            <w:shd w:val="clear" w:color="auto" w:fill="auto"/>
            <w:vAlign w:val="center"/>
          </w:tcPr>
          <w:p w14:paraId="6EE74DA4">
            <w:pPr>
              <w:widowControl/>
              <w:jc w:val="center"/>
              <w:rPr>
                <w:rFonts w:hint="eastAsia" w:ascii="宋体" w:hAnsi="宋体" w:cs="宋体"/>
                <w:kern w:val="0"/>
                <w:sz w:val="20"/>
                <w:szCs w:val="20"/>
              </w:rPr>
            </w:pPr>
            <w:r>
              <w:rPr>
                <w:rFonts w:hint="eastAsia" w:ascii="宋体" w:hAnsi="宋体" w:cs="宋体"/>
                <w:kern w:val="0"/>
                <w:sz w:val="20"/>
                <w:szCs w:val="20"/>
              </w:rPr>
              <w:t>&lt;=1520元/月</w:t>
            </w:r>
          </w:p>
        </w:tc>
        <w:tc>
          <w:tcPr>
            <w:tcW w:w="432" w:type="pct"/>
            <w:tcBorders>
              <w:top w:val="nil"/>
              <w:left w:val="nil"/>
              <w:bottom w:val="single" w:color="auto" w:sz="4" w:space="0"/>
              <w:right w:val="single" w:color="auto" w:sz="4" w:space="0"/>
            </w:tcBorders>
            <w:shd w:val="clear" w:color="auto" w:fill="auto"/>
            <w:vAlign w:val="center"/>
          </w:tcPr>
          <w:p w14:paraId="3A9A90FA">
            <w:pPr>
              <w:widowControl/>
              <w:jc w:val="center"/>
              <w:rPr>
                <w:rFonts w:hint="eastAsia" w:ascii="宋体" w:hAnsi="宋体" w:cs="宋体"/>
                <w:kern w:val="0"/>
                <w:sz w:val="20"/>
                <w:szCs w:val="20"/>
              </w:rPr>
            </w:pPr>
            <w:r>
              <w:rPr>
                <w:rFonts w:hint="eastAsia" w:ascii="宋体" w:hAnsi="宋体" w:cs="宋体"/>
                <w:kern w:val="0"/>
                <w:sz w:val="20"/>
                <w:szCs w:val="20"/>
              </w:rPr>
              <w:t>=1520元/月</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56B89F2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03BEC7A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8FE30C0">
            <w:pPr>
              <w:widowControl/>
              <w:jc w:val="center"/>
              <w:rPr>
                <w:rFonts w:hint="eastAsia" w:ascii="宋体" w:hAnsi="宋体" w:cs="宋体"/>
                <w:kern w:val="0"/>
                <w:sz w:val="20"/>
                <w:szCs w:val="20"/>
              </w:rPr>
            </w:pPr>
          </w:p>
        </w:tc>
      </w:tr>
      <w:tr w14:paraId="41504ECD">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30259356">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C9205D0">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78F5BF8C">
            <w:pPr>
              <w:widowControl/>
              <w:jc w:val="center"/>
              <w:rPr>
                <w:rFonts w:hint="eastAsia" w:ascii="宋体" w:hAnsi="宋体" w:cs="宋体"/>
                <w:kern w:val="0"/>
                <w:sz w:val="20"/>
                <w:szCs w:val="20"/>
              </w:rPr>
            </w:pPr>
            <w:r>
              <w:rPr>
                <w:rFonts w:hint="eastAsia" w:ascii="宋体" w:hAnsi="宋体" w:cs="宋体"/>
                <w:kern w:val="0"/>
                <w:sz w:val="20"/>
                <w:szCs w:val="20"/>
              </w:rPr>
              <w:t>社会成本指标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06C2468A">
            <w:pPr>
              <w:widowControl/>
              <w:jc w:val="left"/>
              <w:rPr>
                <w:rFonts w:hint="eastAsia" w:ascii="宋体" w:hAnsi="宋体" w:cs="宋体"/>
                <w:kern w:val="0"/>
                <w:sz w:val="20"/>
                <w:szCs w:val="20"/>
              </w:rPr>
            </w:pPr>
            <w:r>
              <w:rPr>
                <w:rFonts w:hint="eastAsia" w:ascii="宋体" w:hAnsi="宋体" w:cs="宋体"/>
                <w:kern w:val="0"/>
                <w:sz w:val="20"/>
                <w:szCs w:val="20"/>
              </w:rPr>
              <w:t>优抚对象投诉率</w:t>
            </w:r>
          </w:p>
        </w:tc>
        <w:tc>
          <w:tcPr>
            <w:tcW w:w="491" w:type="pct"/>
            <w:tcBorders>
              <w:top w:val="nil"/>
              <w:left w:val="nil"/>
              <w:bottom w:val="single" w:color="auto" w:sz="4" w:space="0"/>
              <w:right w:val="single" w:color="auto" w:sz="4" w:space="0"/>
            </w:tcBorders>
            <w:shd w:val="clear" w:color="auto" w:fill="auto"/>
            <w:vAlign w:val="center"/>
          </w:tcPr>
          <w:p w14:paraId="6618C62A">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5F7735A3">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7B519C2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04DFB01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147390B7">
            <w:pPr>
              <w:widowControl/>
              <w:jc w:val="center"/>
              <w:rPr>
                <w:rFonts w:hint="eastAsia" w:ascii="宋体" w:hAnsi="宋体" w:cs="宋体"/>
                <w:kern w:val="0"/>
                <w:sz w:val="20"/>
                <w:szCs w:val="20"/>
              </w:rPr>
            </w:pPr>
          </w:p>
        </w:tc>
      </w:tr>
      <w:tr w14:paraId="6B1B12E5">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40EBDD4C">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39589BF">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0AD235C3">
            <w:pPr>
              <w:widowControl/>
              <w:jc w:val="center"/>
              <w:rPr>
                <w:rFonts w:hint="eastAsia" w:ascii="宋体" w:hAnsi="宋体" w:cs="宋体"/>
                <w:kern w:val="0"/>
                <w:sz w:val="20"/>
                <w:szCs w:val="20"/>
              </w:rPr>
            </w:pPr>
            <w:r>
              <w:rPr>
                <w:rFonts w:hint="eastAsia" w:ascii="宋体" w:hAnsi="宋体" w:cs="宋体"/>
                <w:kern w:val="0"/>
                <w:sz w:val="20"/>
                <w:szCs w:val="20"/>
              </w:rPr>
              <w:t>生态环境成本指标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3D65375B">
            <w:pPr>
              <w:widowControl/>
              <w:jc w:val="left"/>
              <w:rPr>
                <w:rFonts w:hint="eastAsia" w:ascii="宋体" w:hAnsi="宋体" w:cs="宋体"/>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F097CC4">
            <w:pPr>
              <w:widowControl/>
              <w:jc w:val="center"/>
              <w:rPr>
                <w:rFonts w:hint="eastAsia" w:ascii="宋体" w:hAnsi="宋体" w:cs="宋体"/>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A045BD2">
            <w:pPr>
              <w:widowControl/>
              <w:jc w:val="center"/>
              <w:rPr>
                <w:rFonts w:hint="eastAsia" w:ascii="宋体" w:hAnsi="宋体" w:cs="宋体"/>
                <w:kern w:val="0"/>
                <w:sz w:val="20"/>
                <w:szCs w:val="20"/>
              </w:rPr>
            </w:pP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7443616D">
            <w:pPr>
              <w:widowControl/>
              <w:jc w:val="center"/>
              <w:rPr>
                <w:rFonts w:hint="eastAsia" w:ascii="宋体" w:hAnsi="宋体" w:cs="宋体"/>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57FD8024">
            <w:pPr>
              <w:widowControl/>
              <w:jc w:val="center"/>
              <w:rPr>
                <w:rFonts w:hint="eastAsia" w:ascii="宋体" w:hAnsi="宋体" w:cs="宋体"/>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329D47F">
            <w:pPr>
              <w:widowControl/>
              <w:jc w:val="center"/>
              <w:rPr>
                <w:rFonts w:hint="eastAsia" w:ascii="宋体" w:hAnsi="宋体" w:cs="宋体"/>
                <w:kern w:val="0"/>
                <w:sz w:val="20"/>
                <w:szCs w:val="20"/>
              </w:rPr>
            </w:pPr>
          </w:p>
        </w:tc>
      </w:tr>
      <w:tr w14:paraId="6136482D">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08B0C897">
            <w:pPr>
              <w:widowControl/>
              <w:jc w:val="left"/>
              <w:rPr>
                <w:rFonts w:hint="eastAsia" w:ascii="宋体" w:hAnsi="宋体" w:cs="宋体"/>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10C03D4">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505" w:type="pct"/>
            <w:tcBorders>
              <w:top w:val="nil"/>
              <w:left w:val="nil"/>
              <w:bottom w:val="single" w:color="auto" w:sz="4" w:space="0"/>
              <w:right w:val="single" w:color="auto" w:sz="4" w:space="0"/>
            </w:tcBorders>
            <w:shd w:val="clear" w:color="auto" w:fill="auto"/>
            <w:vAlign w:val="center"/>
          </w:tcPr>
          <w:p w14:paraId="44FB8D9E">
            <w:pPr>
              <w:widowControl/>
              <w:jc w:val="center"/>
              <w:rPr>
                <w:rFonts w:hint="eastAsia" w:ascii="宋体" w:hAnsi="宋体" w:cs="宋体"/>
                <w:kern w:val="0"/>
                <w:sz w:val="20"/>
                <w:szCs w:val="20"/>
              </w:rPr>
            </w:pPr>
            <w:r>
              <w:rPr>
                <w:rFonts w:hint="eastAsia" w:ascii="宋体" w:hAnsi="宋体" w:cs="宋体"/>
                <w:kern w:val="0"/>
                <w:sz w:val="20"/>
                <w:szCs w:val="20"/>
              </w:rPr>
              <w:t>经济效益指标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0174C9AF">
            <w:pPr>
              <w:widowControl/>
              <w:jc w:val="left"/>
              <w:rPr>
                <w:rFonts w:hint="eastAsia" w:ascii="宋体" w:hAnsi="宋体" w:cs="宋体"/>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7869F0FF">
            <w:pPr>
              <w:widowControl/>
              <w:jc w:val="center"/>
              <w:rPr>
                <w:rFonts w:hint="eastAsia" w:ascii="宋体" w:hAnsi="宋体" w:cs="宋体"/>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34F7036">
            <w:pPr>
              <w:widowControl/>
              <w:jc w:val="center"/>
              <w:rPr>
                <w:rFonts w:hint="eastAsia" w:ascii="宋体" w:hAnsi="宋体" w:cs="宋体"/>
                <w:kern w:val="0"/>
                <w:sz w:val="20"/>
                <w:szCs w:val="20"/>
              </w:rPr>
            </w:pP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69907326">
            <w:pPr>
              <w:widowControl/>
              <w:jc w:val="center"/>
              <w:rPr>
                <w:rFonts w:hint="eastAsia" w:ascii="宋体" w:hAnsi="宋体" w:cs="宋体"/>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59E6719">
            <w:pPr>
              <w:widowControl/>
              <w:jc w:val="center"/>
              <w:rPr>
                <w:rFonts w:hint="eastAsia" w:ascii="宋体" w:hAnsi="宋体" w:cs="宋体"/>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8E61250">
            <w:pPr>
              <w:widowControl/>
              <w:jc w:val="center"/>
              <w:rPr>
                <w:rFonts w:hint="eastAsia" w:ascii="宋体" w:hAnsi="宋体" w:cs="宋体"/>
                <w:kern w:val="0"/>
                <w:sz w:val="20"/>
                <w:szCs w:val="20"/>
              </w:rPr>
            </w:pPr>
          </w:p>
        </w:tc>
      </w:tr>
      <w:tr w14:paraId="4D5A9341">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7A7BD636">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BD5DD16">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568F7E6A">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59F1983A">
            <w:pPr>
              <w:widowControl/>
              <w:jc w:val="left"/>
              <w:rPr>
                <w:rFonts w:hint="eastAsia" w:ascii="宋体" w:hAnsi="宋体" w:cs="宋体"/>
                <w:kern w:val="0"/>
                <w:sz w:val="20"/>
                <w:szCs w:val="20"/>
              </w:rPr>
            </w:pPr>
            <w:r>
              <w:rPr>
                <w:rFonts w:hint="eastAsia" w:ascii="宋体" w:hAnsi="宋体" w:cs="宋体"/>
                <w:kern w:val="0"/>
                <w:sz w:val="20"/>
                <w:szCs w:val="20"/>
              </w:rPr>
              <w:t>优抚对象基本生活保障率</w:t>
            </w:r>
          </w:p>
        </w:tc>
        <w:tc>
          <w:tcPr>
            <w:tcW w:w="491" w:type="pct"/>
            <w:tcBorders>
              <w:top w:val="nil"/>
              <w:left w:val="nil"/>
              <w:bottom w:val="single" w:color="auto" w:sz="4" w:space="0"/>
              <w:right w:val="single" w:color="auto" w:sz="4" w:space="0"/>
            </w:tcBorders>
            <w:shd w:val="clear" w:color="auto" w:fill="auto"/>
            <w:vAlign w:val="center"/>
          </w:tcPr>
          <w:p w14:paraId="2469BC3E">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076761D5">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2420CA8C">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1907301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3CD4E14">
            <w:pPr>
              <w:widowControl/>
              <w:jc w:val="center"/>
              <w:rPr>
                <w:rFonts w:hint="eastAsia" w:ascii="宋体" w:hAnsi="宋体" w:cs="宋体"/>
                <w:kern w:val="0"/>
                <w:sz w:val="20"/>
                <w:szCs w:val="20"/>
              </w:rPr>
            </w:pPr>
          </w:p>
        </w:tc>
      </w:tr>
      <w:tr w14:paraId="0DAB4F82">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26CFF35D">
            <w:pPr>
              <w:widowControl/>
              <w:jc w:val="left"/>
              <w:rPr>
                <w:rFonts w:hint="eastAsia" w:ascii="宋体" w:hAnsi="宋体" w:cs="宋体"/>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2B80CF5">
            <w:pPr>
              <w:widowControl/>
              <w:jc w:val="left"/>
              <w:rPr>
                <w:rFonts w:hint="eastAsia" w:ascii="宋体" w:hAnsi="宋体" w:cs="宋体"/>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39D5C222">
            <w:pPr>
              <w:widowControl/>
              <w:jc w:val="center"/>
              <w:rPr>
                <w:rFonts w:hint="eastAsia" w:ascii="宋体" w:hAnsi="宋体" w:cs="宋体"/>
                <w:kern w:val="0"/>
                <w:sz w:val="20"/>
                <w:szCs w:val="20"/>
              </w:rPr>
            </w:pPr>
            <w:r>
              <w:rPr>
                <w:rFonts w:hint="eastAsia" w:ascii="宋体" w:hAnsi="宋体" w:cs="宋体"/>
                <w:kern w:val="0"/>
                <w:sz w:val="20"/>
                <w:szCs w:val="20"/>
              </w:rPr>
              <w:t>生态效益指标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588575DB">
            <w:pPr>
              <w:widowControl/>
              <w:jc w:val="left"/>
              <w:rPr>
                <w:rFonts w:hint="eastAsia" w:ascii="宋体" w:hAnsi="宋体" w:cs="宋体"/>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30734CB">
            <w:pPr>
              <w:widowControl/>
              <w:jc w:val="center"/>
              <w:rPr>
                <w:rFonts w:hint="eastAsia" w:ascii="宋体" w:hAnsi="宋体" w:cs="宋体"/>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681083F">
            <w:pPr>
              <w:widowControl/>
              <w:jc w:val="center"/>
              <w:rPr>
                <w:rFonts w:hint="eastAsia" w:ascii="宋体" w:hAnsi="宋体" w:cs="宋体"/>
                <w:kern w:val="0"/>
                <w:sz w:val="20"/>
                <w:szCs w:val="20"/>
              </w:rPr>
            </w:pP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6F260AB6">
            <w:pPr>
              <w:widowControl/>
              <w:jc w:val="center"/>
              <w:rPr>
                <w:rFonts w:hint="eastAsia" w:ascii="宋体" w:hAnsi="宋体" w:cs="宋体"/>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2175E04E">
            <w:pPr>
              <w:widowControl/>
              <w:jc w:val="center"/>
              <w:rPr>
                <w:rFonts w:hint="eastAsia" w:ascii="宋体" w:hAnsi="宋体" w:cs="宋体"/>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22AD14D">
            <w:pPr>
              <w:widowControl/>
              <w:jc w:val="center"/>
              <w:rPr>
                <w:rFonts w:hint="eastAsia" w:ascii="宋体" w:hAnsi="宋体" w:cs="宋体"/>
                <w:kern w:val="0"/>
                <w:sz w:val="20"/>
                <w:szCs w:val="20"/>
              </w:rPr>
            </w:pPr>
          </w:p>
        </w:tc>
      </w:tr>
      <w:tr w14:paraId="47CA5874">
        <w:tblPrEx>
          <w:tblCellMar>
            <w:top w:w="0" w:type="dxa"/>
            <w:left w:w="108" w:type="dxa"/>
            <w:bottom w:w="0" w:type="dxa"/>
            <w:right w:w="108" w:type="dxa"/>
          </w:tblCellMar>
        </w:tblPrEx>
        <w:trPr>
          <w:trHeight w:val="402" w:hRule="atLeast"/>
        </w:trPr>
        <w:tc>
          <w:tcPr>
            <w:tcW w:w="289" w:type="pct"/>
            <w:vMerge w:val="continue"/>
            <w:tcBorders>
              <w:top w:val="nil"/>
              <w:left w:val="single" w:color="auto" w:sz="4" w:space="0"/>
              <w:bottom w:val="single" w:color="auto" w:sz="4" w:space="0"/>
              <w:right w:val="single" w:color="auto" w:sz="4" w:space="0"/>
            </w:tcBorders>
            <w:vAlign w:val="center"/>
          </w:tcPr>
          <w:p w14:paraId="0015F33D">
            <w:pPr>
              <w:widowControl/>
              <w:jc w:val="left"/>
              <w:rPr>
                <w:rFonts w:hint="eastAsia" w:ascii="宋体" w:hAnsi="宋体" w:cs="宋体"/>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652129CC">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505" w:type="pct"/>
            <w:tcBorders>
              <w:top w:val="nil"/>
              <w:left w:val="nil"/>
              <w:bottom w:val="single" w:color="auto" w:sz="4" w:space="0"/>
              <w:right w:val="single" w:color="auto" w:sz="4" w:space="0"/>
            </w:tcBorders>
            <w:shd w:val="clear" w:color="auto" w:fill="auto"/>
            <w:vAlign w:val="center"/>
          </w:tcPr>
          <w:p w14:paraId="444D719E">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455" w:type="pct"/>
            <w:gridSpan w:val="3"/>
            <w:tcBorders>
              <w:top w:val="single" w:color="auto" w:sz="4" w:space="0"/>
              <w:left w:val="nil"/>
              <w:bottom w:val="single" w:color="auto" w:sz="4" w:space="0"/>
              <w:right w:val="single" w:color="000000" w:sz="4" w:space="0"/>
            </w:tcBorders>
            <w:shd w:val="clear" w:color="auto" w:fill="auto"/>
            <w:noWrap/>
            <w:vAlign w:val="center"/>
          </w:tcPr>
          <w:p w14:paraId="6A0CA133">
            <w:pPr>
              <w:widowControl/>
              <w:jc w:val="left"/>
              <w:rPr>
                <w:rFonts w:hint="eastAsia" w:ascii="宋体" w:hAnsi="宋体" w:cs="宋体"/>
                <w:kern w:val="0"/>
                <w:sz w:val="20"/>
                <w:szCs w:val="20"/>
              </w:rPr>
            </w:pPr>
            <w:r>
              <w:rPr>
                <w:rFonts w:hint="eastAsia" w:ascii="宋体" w:hAnsi="宋体" w:cs="宋体"/>
                <w:kern w:val="0"/>
                <w:sz w:val="20"/>
                <w:szCs w:val="20"/>
              </w:rPr>
              <w:t>优抚对象满意度</w:t>
            </w:r>
          </w:p>
        </w:tc>
        <w:tc>
          <w:tcPr>
            <w:tcW w:w="491" w:type="pct"/>
            <w:tcBorders>
              <w:top w:val="nil"/>
              <w:left w:val="nil"/>
              <w:bottom w:val="single" w:color="auto" w:sz="4" w:space="0"/>
              <w:right w:val="single" w:color="auto" w:sz="4" w:space="0"/>
            </w:tcBorders>
            <w:shd w:val="clear" w:color="auto" w:fill="auto"/>
            <w:vAlign w:val="center"/>
          </w:tcPr>
          <w:p w14:paraId="01910376">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333E88DB">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0114FBE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1D0F75D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75287070">
            <w:pPr>
              <w:widowControl/>
              <w:jc w:val="center"/>
              <w:rPr>
                <w:rFonts w:hint="eastAsia" w:ascii="宋体" w:hAnsi="宋体" w:cs="宋体"/>
                <w:kern w:val="0"/>
                <w:sz w:val="20"/>
                <w:szCs w:val="20"/>
              </w:rPr>
            </w:pPr>
          </w:p>
        </w:tc>
      </w:tr>
      <w:tr w14:paraId="268CF092">
        <w:tblPrEx>
          <w:tblCellMar>
            <w:top w:w="0" w:type="dxa"/>
            <w:left w:w="108" w:type="dxa"/>
            <w:bottom w:w="0" w:type="dxa"/>
            <w:right w:w="108" w:type="dxa"/>
          </w:tblCellMar>
        </w:tblPrEx>
        <w:trPr>
          <w:trHeight w:val="270" w:hRule="atLeast"/>
        </w:trPr>
        <w:tc>
          <w:tcPr>
            <w:tcW w:w="346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B0430A">
            <w:pPr>
              <w:widowControl/>
              <w:jc w:val="center"/>
              <w:rPr>
                <w:rFonts w:hint="eastAsia" w:ascii="宋体" w:hAnsi="宋体" w:cs="宋体"/>
                <w:kern w:val="0"/>
                <w:sz w:val="20"/>
                <w:szCs w:val="20"/>
              </w:rPr>
            </w:pPr>
            <w:r>
              <w:rPr>
                <w:rFonts w:hint="eastAsia" w:ascii="宋体" w:hAnsi="宋体" w:cs="宋体"/>
                <w:kern w:val="0"/>
                <w:sz w:val="20"/>
                <w:szCs w:val="20"/>
              </w:rPr>
              <w:t>总分</w:t>
            </w:r>
          </w:p>
        </w:tc>
        <w:tc>
          <w:tcPr>
            <w:tcW w:w="337" w:type="pct"/>
            <w:gridSpan w:val="2"/>
            <w:tcBorders>
              <w:top w:val="single" w:color="auto" w:sz="4" w:space="0"/>
              <w:left w:val="nil"/>
              <w:bottom w:val="single" w:color="auto" w:sz="4" w:space="0"/>
              <w:right w:val="single" w:color="auto" w:sz="4" w:space="0"/>
            </w:tcBorders>
            <w:shd w:val="clear" w:color="auto" w:fill="auto"/>
            <w:vAlign w:val="center"/>
          </w:tcPr>
          <w:p w14:paraId="5D08BBD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331BCFF9">
            <w:pPr>
              <w:widowControl/>
              <w:jc w:val="center"/>
              <w:rPr>
                <w:rFonts w:hint="eastAsia" w:ascii="宋体" w:hAnsi="宋体" w:cs="宋体"/>
                <w:kern w:val="0"/>
                <w:sz w:val="20"/>
                <w:szCs w:val="20"/>
              </w:rPr>
            </w:pPr>
            <w:r>
              <w:rPr>
                <w:rFonts w:hint="eastAsia" w:ascii="宋体" w:hAnsi="宋体" w:cs="宋体"/>
                <w:kern w:val="0"/>
                <w:sz w:val="20"/>
                <w:szCs w:val="20"/>
              </w:rPr>
              <w:t>99.1分</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D065042">
            <w:pPr>
              <w:widowControl/>
              <w:jc w:val="center"/>
              <w:rPr>
                <w:rFonts w:hint="eastAsia" w:ascii="宋体" w:hAnsi="宋体" w:cs="宋体"/>
                <w:kern w:val="0"/>
                <w:sz w:val="20"/>
                <w:szCs w:val="20"/>
              </w:rPr>
            </w:pPr>
          </w:p>
        </w:tc>
      </w:tr>
    </w:tbl>
    <w:p w14:paraId="4384B491">
      <w:pPr>
        <w:ind w:firstLine="640" w:firstLineChars="200"/>
        <w:jc w:val="left"/>
        <w:rPr>
          <w:rFonts w:ascii="仿宋_GB2312" w:eastAsia="仿宋_GB2312"/>
          <w:sz w:val="32"/>
          <w:szCs w:val="32"/>
        </w:rPr>
      </w:pPr>
    </w:p>
    <w:p w14:paraId="5EDBA45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F665CD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DFD5FF8">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31726749">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0CF11AD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89F49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E1F0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3E03E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CCF12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EF966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0D647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783D33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4C0E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BDDAC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2297D5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BA567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394B1C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7429B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571C50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89F513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2FB7802">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437B414">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08042475">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1F7510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7EC600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22D726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48B4658">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E165EC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B3EFD10">
      <w:pPr>
        <w:ind w:firstLine="640" w:firstLineChars="200"/>
        <w:rPr>
          <w:rFonts w:ascii="仿宋_GB2312" w:eastAsia="仿宋_GB2312"/>
          <w:sz w:val="32"/>
          <w:szCs w:val="32"/>
        </w:rPr>
      </w:pPr>
    </w:p>
    <w:p w14:paraId="3A7F49E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867B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4B24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F14B24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F6DD0"/>
    <w:rsid w:val="000B527A"/>
    <w:rsid w:val="000D0A88"/>
    <w:rsid w:val="001248EF"/>
    <w:rsid w:val="001635D8"/>
    <w:rsid w:val="00213C59"/>
    <w:rsid w:val="002454E7"/>
    <w:rsid w:val="002C5A4E"/>
    <w:rsid w:val="003210CE"/>
    <w:rsid w:val="003255E3"/>
    <w:rsid w:val="003312FB"/>
    <w:rsid w:val="0044436A"/>
    <w:rsid w:val="0045190D"/>
    <w:rsid w:val="004A7024"/>
    <w:rsid w:val="005236AE"/>
    <w:rsid w:val="00597FF9"/>
    <w:rsid w:val="0066132C"/>
    <w:rsid w:val="006B18DE"/>
    <w:rsid w:val="007A679A"/>
    <w:rsid w:val="007E014A"/>
    <w:rsid w:val="0081398E"/>
    <w:rsid w:val="00960BB6"/>
    <w:rsid w:val="009610C1"/>
    <w:rsid w:val="009850C6"/>
    <w:rsid w:val="00A06D96"/>
    <w:rsid w:val="00AC4674"/>
    <w:rsid w:val="00AD0F25"/>
    <w:rsid w:val="00B43900"/>
    <w:rsid w:val="00B70D59"/>
    <w:rsid w:val="00B74691"/>
    <w:rsid w:val="00C032BF"/>
    <w:rsid w:val="00C500EE"/>
    <w:rsid w:val="00CF6DD0"/>
    <w:rsid w:val="00D27261"/>
    <w:rsid w:val="00D52DC9"/>
    <w:rsid w:val="00D61ABB"/>
    <w:rsid w:val="00D61E01"/>
    <w:rsid w:val="00E11A06"/>
    <w:rsid w:val="00E318F6"/>
    <w:rsid w:val="00F26753"/>
    <w:rsid w:val="00F3668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0B1DCD"/>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BF4401"/>
    <w:rsid w:val="2CC206BE"/>
    <w:rsid w:val="2CFB7A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7959</Words>
  <Characters>9115</Characters>
  <Lines>74</Lines>
  <Paragraphs>20</Paragraphs>
  <TotalTime>0</TotalTime>
  <ScaleCrop>false</ScaleCrop>
  <LinksUpToDate>false</LinksUpToDate>
  <CharactersWithSpaces>9127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2024-12-27T06:24:15Z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